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09006FA7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 w:rsidR="001614F2">
        <w:rPr>
          <w:b/>
          <w:noProof/>
          <w:sz w:val="24"/>
          <w:lang w:val="en-US"/>
        </w:rPr>
        <w:t>9</w:t>
      </w:r>
      <w:r w:rsidR="000C416C" w:rsidRPr="000C416C">
        <w:rPr>
          <w:b/>
          <w:noProof/>
          <w:sz w:val="24"/>
          <w:lang w:val="en-US"/>
        </w:rPr>
        <w:t xml:space="preserve"> </w:t>
      </w:r>
      <w:r w:rsidR="008B63D7">
        <w:rPr>
          <w:b/>
          <w:noProof/>
          <w:sz w:val="24"/>
          <w:lang w:val="en-US"/>
        </w:rPr>
        <w:t xml:space="preserve">                                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E4271E">
        <w:rPr>
          <w:b/>
          <w:noProof/>
          <w:sz w:val="24"/>
          <w:lang w:val="en-US"/>
        </w:rPr>
        <w:t>30230</w:t>
      </w:r>
    </w:p>
    <w:p w14:paraId="351CA33D" w14:textId="513EC20B" w:rsidR="00347001" w:rsidRPr="002D2634" w:rsidRDefault="001614F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Athens, Greece,</w:t>
      </w:r>
      <w:r w:rsidR="00D870B2" w:rsidRPr="0076784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February</w:t>
      </w:r>
      <w:r w:rsidR="00E23ADB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27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>
        <w:rPr>
          <w:rFonts w:ascii="Arial" w:eastAsia="MS Mincho" w:hAnsi="Arial"/>
          <w:b/>
          <w:noProof/>
          <w:sz w:val="24"/>
        </w:rPr>
        <w:t>March 3</w:t>
      </w:r>
      <w:r w:rsidR="00C11801">
        <w:rPr>
          <w:rFonts w:ascii="Arial" w:eastAsia="MS Mincho" w:hAnsi="Arial"/>
          <w:b/>
          <w:noProof/>
          <w:sz w:val="24"/>
        </w:rPr>
        <w:t>,</w:t>
      </w:r>
      <w:r w:rsidR="00410637">
        <w:rPr>
          <w:rFonts w:ascii="Arial" w:eastAsia="MS Mincho" w:hAnsi="Arial"/>
          <w:b/>
          <w:noProof/>
          <w:sz w:val="24"/>
        </w:rPr>
        <w:t xml:space="preserve"> 202</w:t>
      </w:r>
      <w:r>
        <w:rPr>
          <w:rFonts w:ascii="Arial" w:eastAsia="MS Mincho" w:hAnsi="Arial"/>
          <w:b/>
          <w:noProof/>
          <w:sz w:val="24"/>
        </w:rPr>
        <w:t>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2C789093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C47A66">
        <w:rPr>
          <w:sz w:val="24"/>
          <w:lang w:val="pt-PT"/>
        </w:rPr>
        <w:t>13</w:t>
      </w:r>
      <w:r w:rsidR="00AE7935">
        <w:rPr>
          <w:sz w:val="24"/>
          <w:lang w:val="pt-PT"/>
        </w:rPr>
        <w:t>.</w:t>
      </w:r>
      <w:r w:rsidR="00213E43">
        <w:rPr>
          <w:sz w:val="24"/>
          <w:lang w:val="pt-PT"/>
        </w:rPr>
        <w:t>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0156AC8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213E43">
        <w:rPr>
          <w:rFonts w:ascii="Arial" w:hAnsi="Arial"/>
          <w:sz w:val="24"/>
        </w:rPr>
        <w:t>Mobility enhancements</w:t>
      </w:r>
      <w:r w:rsidR="00D80F5E">
        <w:rPr>
          <w:rFonts w:ascii="Arial" w:hAnsi="Arial"/>
          <w:sz w:val="24"/>
        </w:rPr>
        <w:t xml:space="preserve"> for</w:t>
      </w:r>
      <w:r w:rsidR="00AE7935">
        <w:rPr>
          <w:rFonts w:ascii="Arial" w:hAnsi="Arial"/>
          <w:sz w:val="24"/>
        </w:rPr>
        <w:t xml:space="preserve"> mobile</w:t>
      </w:r>
      <w:r w:rsidR="003A16C0">
        <w:rPr>
          <w:rFonts w:ascii="Arial" w:hAnsi="Arial"/>
          <w:sz w:val="24"/>
        </w:rPr>
        <w:t xml:space="preserve">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C2FF9BF" w14:textId="71F08C56" w:rsidR="00E1376C" w:rsidRDefault="00E1376C" w:rsidP="00E1376C">
      <w:pPr>
        <w:spacing w:after="0"/>
      </w:pPr>
      <w:r>
        <w:t>RAN3#117bis-e achieved the following agreements [1]:</w:t>
      </w:r>
    </w:p>
    <w:p w14:paraId="678CDF63" w14:textId="77777777" w:rsidR="00E1376C" w:rsidRDefault="00E1376C" w:rsidP="00E1376C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E1376C" w14:paraId="7AB17A63" w14:textId="77777777" w:rsidTr="0055542F">
        <w:tc>
          <w:tcPr>
            <w:tcW w:w="9857" w:type="dxa"/>
            <w:shd w:val="clear" w:color="auto" w:fill="auto"/>
          </w:tcPr>
          <w:p w14:paraId="6C8442E7" w14:textId="77777777" w:rsidR="00233A18" w:rsidRDefault="00233A18" w:rsidP="00233A18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After baseline procedures have been established, RAN3 to discuss the benefit and whether to support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signaling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of information related to multiple UE contexts in a single message for UE handover preparation, path switch, and context release procedures.</w:t>
            </w:r>
          </w:p>
          <w:p w14:paraId="2907841E" w14:textId="77777777" w:rsidR="00233A18" w:rsidRDefault="00233A18" w:rsidP="00233A18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As the baseline, F1 establishment and configuration of the new logical DU follows legacy procedures. </w:t>
            </w:r>
          </w:p>
          <w:p w14:paraId="30E2C646" w14:textId="77777777" w:rsidR="00D72B17" w:rsidRDefault="00D72B17" w:rsidP="00D72B17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discuss whether and which information can be shared between two logical DUs in case of IAB-DU migration.</w:t>
            </w:r>
          </w:p>
          <w:p w14:paraId="06DD419A" w14:textId="77777777" w:rsidR="00D72B17" w:rsidRDefault="00D72B17" w:rsidP="00D72B17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discuss which of the OAM-configured and network-configured parameters may be pre-configured at a mobile IAB-node, after a baseline procedure for IAB-DU migration is developed.</w:t>
            </w:r>
          </w:p>
          <w:p w14:paraId="712A6013" w14:textId="77777777" w:rsidR="00D72B17" w:rsidRDefault="00D72B17" w:rsidP="00D72B17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Source donor CU of mobile IAB-MT informs the target donor CU of mobile IAB-MT that the migrating node is a mobile IAB-node, via explicit indication in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XnAP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HO Request message.</w:t>
            </w:r>
          </w:p>
          <w:p w14:paraId="01B49C69" w14:textId="77777777" w:rsidR="00D72B17" w:rsidRDefault="00D72B17" w:rsidP="00D72B17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RAN3 to discuss whether source donor should know whether the target cell belongs to a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-Node.</w:t>
            </w:r>
          </w:p>
          <w:p w14:paraId="402F65F4" w14:textId="01F078B3" w:rsidR="00D72B17" w:rsidRDefault="00D72B17" w:rsidP="00D72B17">
            <w:pPr>
              <w:widowControl w:val="0"/>
              <w:ind w:left="144" w:hanging="144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The NCGI of the mobile IAB-DU cell shall contain the </w:t>
            </w:r>
            <w:proofErr w:type="spellStart"/>
            <w:r>
              <w:rPr>
                <w:rFonts w:ascii="Calibri" w:hAnsi="Calibri" w:cs="Calibri"/>
                <w:color w:val="FF0000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ID of the F1-terminating donor CU</w:t>
            </w:r>
          </w:p>
          <w:p w14:paraId="75670A75" w14:textId="77777777" w:rsidR="00D72B17" w:rsidRDefault="00D72B17" w:rsidP="00D72B17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The NCGI of the mobile IAB-DU cell is changed when the F1-terminating donor CU of the mobile IAB-DU is changed.</w:t>
            </w:r>
          </w:p>
          <w:p w14:paraId="0D0930B4" w14:textId="77777777" w:rsidR="00D72B17" w:rsidRDefault="00D72B17" w:rsidP="00D72B17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further discuss the following options for TAC/RANAC issue:</w:t>
            </w:r>
          </w:p>
          <w:p w14:paraId="349E2928" w14:textId="77777777" w:rsidR="00D72B17" w:rsidRDefault="00D72B17" w:rsidP="00D72B17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ab/>
              <w:t xml:space="preserve">Option 1: The TAC/RANAC for the mobile IAB cell can be changed </w:t>
            </w:r>
            <w:proofErr w:type="gramStart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in order to</w:t>
            </w:r>
            <w:proofErr w:type="gramEnd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reflect the physical location when the mobile IAB-node moves. </w:t>
            </w:r>
          </w:p>
          <w:p w14:paraId="07FFC83D" w14:textId="14A7BC53" w:rsidR="00E1376C" w:rsidRPr="00D72B17" w:rsidRDefault="00D72B17" w:rsidP="00D72B17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ab/>
              <w:t>Option 2: Using static TAC/RANAC for mobile IAB when it moves. Involvement of SA2 may be needed</w:t>
            </w:r>
          </w:p>
        </w:tc>
      </w:tr>
    </w:tbl>
    <w:p w14:paraId="627C0DF2" w14:textId="77777777" w:rsidR="00E1376C" w:rsidRDefault="00E1376C" w:rsidP="006600CD">
      <w:pPr>
        <w:spacing w:after="0"/>
      </w:pPr>
    </w:p>
    <w:p w14:paraId="4E5EBADD" w14:textId="1E863394" w:rsidR="00B65E42" w:rsidRDefault="00E1376C" w:rsidP="006600CD">
      <w:pPr>
        <w:spacing w:after="0"/>
      </w:pPr>
      <w:r>
        <w:t>RAN3#118</w:t>
      </w:r>
      <w:r w:rsidR="00044173">
        <w:t xml:space="preserve"> achieved the following </w:t>
      </w:r>
      <w:r w:rsidR="0026699C">
        <w:t>agreements</w:t>
      </w:r>
      <w:r w:rsidR="00D80F5E">
        <w:t xml:space="preserve"> [</w:t>
      </w:r>
      <w:r>
        <w:t>2</w:t>
      </w:r>
      <w:r w:rsidR="00D80F5E">
        <w:t>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2626C4F9" w14:textId="77777777" w:rsidR="00525155" w:rsidRPr="00072E42" w:rsidRDefault="00525155" w:rsidP="00525155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Dynamic TACs:</w:t>
            </w:r>
          </w:p>
          <w:p w14:paraId="385F426C" w14:textId="77777777" w:rsidR="00525155" w:rsidRPr="00072E42" w:rsidRDefault="00525155" w:rsidP="00525155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Static TAC solution is not pursued. </w:t>
            </w:r>
          </w:p>
          <w:p w14:paraId="39840B64" w14:textId="77777777" w:rsidR="00525155" w:rsidRPr="00072E42" w:rsidRDefault="00525155" w:rsidP="00525155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RAN3 assumes that dynamic TAC solution should be supported. </w:t>
            </w:r>
          </w:p>
          <w:p w14:paraId="19B5D339" w14:textId="77777777" w:rsidR="00525155" w:rsidRPr="00072E42" w:rsidRDefault="00525155" w:rsidP="00525155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RAN3 to continue discussions on impacts (if any) of dynamic TAC solutions on RAN3 specs </w:t>
            </w:r>
          </w:p>
          <w:p w14:paraId="6F74E7A7" w14:textId="77777777" w:rsidR="00525155" w:rsidRPr="00072E42" w:rsidRDefault="00525155" w:rsidP="00525155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Send an LS to RAN2 (include SA2 in </w:t>
            </w:r>
            <w:proofErr w:type="gramStart"/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To</w:t>
            </w:r>
            <w:proofErr w:type="gramEnd"/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) informing RAN2 of the decisions taken by RAN3</w:t>
            </w:r>
          </w:p>
          <w:p w14:paraId="5D18A427" w14:textId="609A1FB9" w:rsidR="00525155" w:rsidRPr="00072E42" w:rsidRDefault="00525155" w:rsidP="00525155">
            <w:pPr>
              <w:widowControl w:val="0"/>
              <w:rPr>
                <w:rFonts w:ascii="Calibri" w:hAnsi="Calibri" w:cs="Calibri"/>
                <w:bCs/>
                <w:color w:val="0000FF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 </w:t>
            </w:r>
            <w:r w:rsidRPr="00072E42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 xml:space="preserve">To be continued: </w:t>
            </w:r>
          </w:p>
          <w:p w14:paraId="155E6003" w14:textId="77777777" w:rsidR="00525155" w:rsidRPr="00072E42" w:rsidRDefault="00525155" w:rsidP="00525155">
            <w:pPr>
              <w:widowControl w:val="0"/>
              <w:rPr>
                <w:rFonts w:ascii="Calibri" w:hAnsi="Calibri" w:cs="Calibri"/>
                <w:bCs/>
                <w:color w:val="0000FF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 xml:space="preserve">The NCGI of the mobile IAB cell needs to reflect the </w:t>
            </w:r>
            <w:proofErr w:type="spellStart"/>
            <w:r w:rsidRPr="00072E42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>gNB</w:t>
            </w:r>
            <w:proofErr w:type="spellEnd"/>
            <w:r w:rsidRPr="00072E42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>-ID of the IAB-DU´s donor. How should the NCGI be configured?</w:t>
            </w:r>
          </w:p>
          <w:p w14:paraId="6095FF85" w14:textId="77777777" w:rsidR="00525155" w:rsidRPr="00072E42" w:rsidRDefault="00525155" w:rsidP="00525155">
            <w:pPr>
              <w:widowControl w:val="0"/>
              <w:rPr>
                <w:rFonts w:ascii="Calibri" w:hAnsi="Calibri" w:cs="Calibri"/>
                <w:bCs/>
                <w:color w:val="0000FF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>Via F1 signalling from the donor</w:t>
            </w:r>
          </w:p>
          <w:p w14:paraId="080149EE" w14:textId="3341EC3F" w:rsidR="00B65E42" w:rsidRPr="00D22798" w:rsidRDefault="00525155" w:rsidP="00D22798">
            <w:pPr>
              <w:widowControl w:val="0"/>
              <w:rPr>
                <w:rFonts w:ascii="Calibri" w:hAnsi="Calibri" w:cs="Calibri"/>
                <w:bCs/>
                <w:color w:val="0000FF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Cs/>
                <w:color w:val="0000FF"/>
                <w:sz w:val="18"/>
                <w:szCs w:val="18"/>
              </w:rPr>
              <w:t>Via OAM configuration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662C4159" w14:textId="097BF674" w:rsidR="00F705E6" w:rsidRDefault="00D80F5E" w:rsidP="00F705E6">
      <w:pPr>
        <w:spacing w:after="0"/>
      </w:pPr>
      <w:r>
        <w:t xml:space="preserve">This contribution </w:t>
      </w:r>
      <w:r w:rsidR="00044173">
        <w:t xml:space="preserve">aims to make further progress in the discussion of </w:t>
      </w:r>
      <w:r w:rsidR="004A2F60">
        <w:t>mobility enhancements for mobile IAB</w:t>
      </w:r>
      <w:r w:rsidR="00044173">
        <w:t>.</w:t>
      </w:r>
      <w:r w:rsidR="00F705E6">
        <w:t xml:space="preserve"> </w:t>
      </w:r>
    </w:p>
    <w:p w14:paraId="567263CA" w14:textId="77777777" w:rsidR="00F705E6" w:rsidRPr="00320A6B" w:rsidRDefault="00F705E6" w:rsidP="00382A17"/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31EE375A" w14:textId="7CC5F584" w:rsidR="003F0B44" w:rsidRPr="00EA1745" w:rsidRDefault="003F0B44" w:rsidP="00D76CCE">
      <w:pPr>
        <w:pStyle w:val="Heading2"/>
      </w:pPr>
      <w:r w:rsidRPr="00D76CCE">
        <w:rPr>
          <w:highlight w:val="yellow"/>
        </w:rPr>
        <w:t>Issue</w:t>
      </w:r>
      <w:r w:rsidR="0068738A" w:rsidRPr="00D76CCE">
        <w:rPr>
          <w:highlight w:val="yellow"/>
        </w:rPr>
        <w:t xml:space="preserve"> 1</w:t>
      </w:r>
      <w:r w:rsidRPr="00D76CCE">
        <w:rPr>
          <w:highlight w:val="yellow"/>
        </w:rPr>
        <w:t>:</w:t>
      </w:r>
      <w:r w:rsidR="00EA1745">
        <w:t xml:space="preserve"> </w:t>
      </w:r>
      <w:r w:rsidR="004A2F60">
        <w:t xml:space="preserve">Configuration </w:t>
      </w:r>
      <w:r w:rsidR="00B133ED">
        <w:t xml:space="preserve">of </w:t>
      </w:r>
      <w:r w:rsidR="004A2F60">
        <w:t xml:space="preserve">target logical </w:t>
      </w:r>
      <w:proofErr w:type="spellStart"/>
      <w:r w:rsidR="004A2F60">
        <w:t>mIAB</w:t>
      </w:r>
      <w:proofErr w:type="spellEnd"/>
      <w:r w:rsidR="004A2F60">
        <w:t>-DU-cell’s NCGI</w:t>
      </w:r>
    </w:p>
    <w:p w14:paraId="53F51100" w14:textId="3A1EE8CB" w:rsidR="00CD0FA0" w:rsidRDefault="004A2F60" w:rsidP="003F0B44">
      <w:pPr>
        <w:spacing w:after="160" w:line="259" w:lineRule="auto"/>
      </w:pPr>
      <w:r>
        <w:t xml:space="preserve">Based on discussions in the last meeting, </w:t>
      </w:r>
      <w:r w:rsidR="00B931D9">
        <w:t xml:space="preserve">during DU migration, </w:t>
      </w:r>
      <w:r>
        <w:t>the</w:t>
      </w:r>
      <w:r w:rsidR="00CD0FA0">
        <w:t xml:space="preserve"> target logical </w:t>
      </w:r>
      <w:proofErr w:type="spellStart"/>
      <w:r w:rsidR="00CD0FA0">
        <w:t>mIAB</w:t>
      </w:r>
      <w:proofErr w:type="spellEnd"/>
      <w:r w:rsidR="00CD0FA0">
        <w:t>-DU-cell’s NCGI could be configured:</w:t>
      </w:r>
    </w:p>
    <w:p w14:paraId="7FB557A6" w14:textId="77777777" w:rsidR="00CD0FA0" w:rsidRDefault="00CD0FA0" w:rsidP="007672A4">
      <w:pPr>
        <w:spacing w:after="160" w:line="259" w:lineRule="auto"/>
        <w:ind w:left="432"/>
      </w:pPr>
      <w:r w:rsidRPr="00CD0FA0">
        <w:rPr>
          <w:b/>
          <w:bCs/>
        </w:rPr>
        <w:t>Option 1:</w:t>
      </w:r>
      <w:r>
        <w:t xml:space="preserve"> via F1 </w:t>
      </w:r>
      <w:proofErr w:type="spellStart"/>
      <w:r>
        <w:t>signaling</w:t>
      </w:r>
      <w:proofErr w:type="spellEnd"/>
      <w:r>
        <w:t xml:space="preserve"> by the donor CU</w:t>
      </w:r>
    </w:p>
    <w:p w14:paraId="05A5CF9F" w14:textId="1B2A5065" w:rsidR="008F1491" w:rsidRDefault="00CD0FA0" w:rsidP="007672A4">
      <w:pPr>
        <w:spacing w:after="160" w:line="259" w:lineRule="auto"/>
        <w:ind w:left="432"/>
      </w:pPr>
      <w:r w:rsidRPr="00CD0FA0">
        <w:rPr>
          <w:b/>
          <w:bCs/>
        </w:rPr>
        <w:t>Option 2:</w:t>
      </w:r>
      <w:r>
        <w:t xml:space="preserve"> via OAM- or pre-configuration.</w:t>
      </w:r>
    </w:p>
    <w:p w14:paraId="04974663" w14:textId="77777777" w:rsidR="00DD7DCC" w:rsidRDefault="00CD0FA0" w:rsidP="003F0B44">
      <w:pPr>
        <w:spacing w:after="160" w:line="259" w:lineRule="auto"/>
      </w:pPr>
      <w:r>
        <w:t xml:space="preserve">Based on scenario, either of these options may have its merits. </w:t>
      </w:r>
    </w:p>
    <w:p w14:paraId="3F4C2FDB" w14:textId="77777777" w:rsidR="00C748E5" w:rsidRDefault="00DD7DCC" w:rsidP="003F0B44">
      <w:pPr>
        <w:spacing w:after="160" w:line="259" w:lineRule="auto"/>
      </w:pPr>
      <w:r w:rsidRPr="006E0E56">
        <w:rPr>
          <w:b/>
          <w:bCs/>
          <w:u w:val="single"/>
        </w:rPr>
        <w:t>On NCGI pre-configuration</w:t>
      </w:r>
      <w:r w:rsidRPr="00BB4C0C">
        <w:rPr>
          <w:b/>
          <w:bCs/>
        </w:rPr>
        <w:t xml:space="preserve">: </w:t>
      </w:r>
      <w:r w:rsidR="008E28DF">
        <w:t>Any</w:t>
      </w:r>
      <w:r>
        <w:t xml:space="preserve"> NCGI pre-configured on the </w:t>
      </w:r>
      <w:proofErr w:type="spellStart"/>
      <w:r>
        <w:t>mIAB</w:t>
      </w:r>
      <w:proofErr w:type="spellEnd"/>
      <w:r>
        <w:t xml:space="preserve">-node cannot be used by any other </w:t>
      </w:r>
      <w:proofErr w:type="spellStart"/>
      <w:r>
        <w:t>mIAB</w:t>
      </w:r>
      <w:proofErr w:type="spellEnd"/>
      <w:r>
        <w:t xml:space="preserve">-node </w:t>
      </w:r>
      <w:r w:rsidR="008E28DF">
        <w:t>which may</w:t>
      </w:r>
      <w:r>
        <w:t xml:space="preserve"> connect to the same donor CU at the same time. </w:t>
      </w:r>
      <w:r w:rsidR="00F139F4">
        <w:t>Also, t</w:t>
      </w:r>
      <w:r>
        <w:t xml:space="preserve">he NCGI cannot be used by stationary cells supported by </w:t>
      </w:r>
      <w:r w:rsidR="00F139F4">
        <w:t>the same</w:t>
      </w:r>
      <w:r>
        <w:t xml:space="preserve"> donor</w:t>
      </w:r>
      <w:r w:rsidR="00977921">
        <w:t xml:space="preserve"> the </w:t>
      </w:r>
      <w:proofErr w:type="spellStart"/>
      <w:r w:rsidR="00977921">
        <w:t>mIAB</w:t>
      </w:r>
      <w:proofErr w:type="spellEnd"/>
      <w:r w:rsidR="00977921">
        <w:t>-node may connect to</w:t>
      </w:r>
      <w:r>
        <w:t xml:space="preserve">. </w:t>
      </w:r>
      <w:r w:rsidR="007672A4">
        <w:t xml:space="preserve">These constraints may lead to exhaustion of cell IDs. </w:t>
      </w:r>
    </w:p>
    <w:p w14:paraId="43DB6943" w14:textId="77777777" w:rsidR="00C748E5" w:rsidRDefault="00F139F4" w:rsidP="003F0B44">
      <w:pPr>
        <w:spacing w:after="160" w:line="259" w:lineRule="auto"/>
      </w:pPr>
      <w:r>
        <w:t xml:space="preserve">Further, NCGIs </w:t>
      </w:r>
      <w:r w:rsidR="00977921">
        <w:t>need</w:t>
      </w:r>
      <w:r>
        <w:t xml:space="preserve"> to be configured on the </w:t>
      </w:r>
      <w:proofErr w:type="spellStart"/>
      <w:r>
        <w:t>mIAB</w:t>
      </w:r>
      <w:proofErr w:type="spellEnd"/>
      <w:r>
        <w:t xml:space="preserve">-node for all CUs </w:t>
      </w:r>
      <w:r w:rsidR="00977921">
        <w:t xml:space="preserve">to which </w:t>
      </w:r>
      <w:r>
        <w:t xml:space="preserve">the IAB-node may potentially </w:t>
      </w:r>
      <w:r w:rsidR="00977921">
        <w:t>connect</w:t>
      </w:r>
      <w:r>
        <w:t xml:space="preserve">. </w:t>
      </w:r>
      <w:r w:rsidR="00977921">
        <w:t>Also</w:t>
      </w:r>
      <w:r>
        <w:t xml:space="preserve">, many </w:t>
      </w:r>
      <w:proofErr w:type="spellStart"/>
      <w:r>
        <w:t>mIAB</w:t>
      </w:r>
      <w:proofErr w:type="spellEnd"/>
      <w:r>
        <w:t xml:space="preserve">-nodes may have to be </w:t>
      </w:r>
      <w:r w:rsidRPr="00977921">
        <w:rPr>
          <w:u w:val="single"/>
        </w:rPr>
        <w:t>re</w:t>
      </w:r>
      <w:r>
        <w:t xml:space="preserve">configured in case new donors are deployed or </w:t>
      </w:r>
      <w:proofErr w:type="spellStart"/>
      <w:r>
        <w:t>gNB</w:t>
      </w:r>
      <w:proofErr w:type="spellEnd"/>
      <w:r>
        <w:t xml:space="preserve">-IDs of existing donors are changed. </w:t>
      </w:r>
      <w:r w:rsidR="007672A4">
        <w:t xml:space="preserve">This creates a substantial overhead in case such network changes are conducted. </w:t>
      </w:r>
    </w:p>
    <w:p w14:paraId="065D00E1" w14:textId="4CB7B1E9" w:rsidR="00F139F4" w:rsidRDefault="00F139F4" w:rsidP="003F0B44">
      <w:pPr>
        <w:spacing w:after="160" w:line="259" w:lineRule="auto"/>
      </w:pPr>
      <w:proofErr w:type="gramStart"/>
      <w:r>
        <w:t>All of</w:t>
      </w:r>
      <w:proofErr w:type="gramEnd"/>
      <w:r>
        <w:t xml:space="preserve"> these iss</w:t>
      </w:r>
      <w:r w:rsidR="00C748E5">
        <w:t>ues arise for</w:t>
      </w:r>
      <w:r>
        <w:t xml:space="preserve"> scenarios</w:t>
      </w:r>
      <w:r w:rsidR="00977921">
        <w:t>,</w:t>
      </w:r>
      <w:r>
        <w:t xml:space="preserve"> where the </w:t>
      </w:r>
      <w:proofErr w:type="spellStart"/>
      <w:r>
        <w:t>mIAB</w:t>
      </w:r>
      <w:proofErr w:type="spellEnd"/>
      <w:r>
        <w:t>-node travel</w:t>
      </w:r>
      <w:r w:rsidR="00C748E5">
        <w:t>s</w:t>
      </w:r>
      <w:r>
        <w:t xml:space="preserve"> across a large network area and</w:t>
      </w:r>
      <w:r w:rsidR="00977921">
        <w:t xml:space="preserve">/or on a </w:t>
      </w:r>
      <w:r>
        <w:t>potentially indeterministic route. NCGI pre-configuration may make sense for scenarios</w:t>
      </w:r>
      <w:r w:rsidR="00977921">
        <w:t>,</w:t>
      </w:r>
      <w:r>
        <w:t xml:space="preserve"> where the </w:t>
      </w:r>
      <w:proofErr w:type="spellStart"/>
      <w:r>
        <w:t>mIAB</w:t>
      </w:r>
      <w:proofErr w:type="spellEnd"/>
      <w:r>
        <w:t xml:space="preserve">-node travels on a deterministic route, </w:t>
      </w:r>
      <w:r w:rsidR="00977921">
        <w:t>and</w:t>
      </w:r>
      <w:r>
        <w:t xml:space="preserve"> where only a few dedicated CUs are used </w:t>
      </w:r>
      <w:r w:rsidR="00C748E5">
        <w:t>by</w:t>
      </w:r>
      <w:r>
        <w:t xml:space="preserve"> the </w:t>
      </w:r>
      <w:proofErr w:type="spellStart"/>
      <w:r>
        <w:t>mIAB</w:t>
      </w:r>
      <w:proofErr w:type="spellEnd"/>
      <w:r>
        <w:t>-DUs</w:t>
      </w:r>
      <w:r w:rsidR="00977921">
        <w:t xml:space="preserve"> on this route</w:t>
      </w:r>
      <w:r>
        <w:t xml:space="preserve">. </w:t>
      </w:r>
    </w:p>
    <w:p w14:paraId="20255727" w14:textId="7E3A23DE" w:rsidR="00BB4C0C" w:rsidRDefault="00F139F4" w:rsidP="00F139F4">
      <w:pPr>
        <w:spacing w:after="160" w:line="259" w:lineRule="auto"/>
        <w:rPr>
          <w:b/>
          <w:bCs/>
        </w:rPr>
      </w:pPr>
      <w:r w:rsidRPr="00F139F4">
        <w:rPr>
          <w:b/>
          <w:bCs/>
        </w:rPr>
        <w:t>Observation 1</w:t>
      </w:r>
      <w:r w:rsidR="00B133ED">
        <w:rPr>
          <w:b/>
          <w:bCs/>
        </w:rPr>
        <w:t>a</w:t>
      </w:r>
      <w:r w:rsidRPr="00F139F4">
        <w:rPr>
          <w:b/>
          <w:bCs/>
        </w:rPr>
        <w:t xml:space="preserve">: NCGI pre-configuration may be beneficial </w:t>
      </w:r>
      <w:r w:rsidR="00F90F4F">
        <w:rPr>
          <w:b/>
          <w:bCs/>
        </w:rPr>
        <w:t>in scenarios where the</w:t>
      </w:r>
      <w:r w:rsidRPr="00F139F4">
        <w:rPr>
          <w:b/>
          <w:bCs/>
        </w:rPr>
        <w:t xml:space="preserve"> IAB-node travel</w:t>
      </w:r>
      <w:r w:rsidR="00F90F4F">
        <w:rPr>
          <w:b/>
          <w:bCs/>
        </w:rPr>
        <w:t>s</w:t>
      </w:r>
      <w:r w:rsidRPr="00F139F4">
        <w:rPr>
          <w:b/>
          <w:bCs/>
        </w:rPr>
        <w:t xml:space="preserve"> on </w:t>
      </w:r>
      <w:r w:rsidR="00F90F4F">
        <w:rPr>
          <w:b/>
          <w:bCs/>
        </w:rPr>
        <w:t xml:space="preserve">a </w:t>
      </w:r>
      <w:r w:rsidRPr="00F139F4">
        <w:rPr>
          <w:b/>
          <w:bCs/>
        </w:rPr>
        <w:t xml:space="preserve">deterministic </w:t>
      </w:r>
      <w:r w:rsidR="00FB600B">
        <w:rPr>
          <w:b/>
          <w:bCs/>
        </w:rPr>
        <w:t>route</w:t>
      </w:r>
      <w:r w:rsidRPr="00F139F4">
        <w:rPr>
          <w:b/>
          <w:bCs/>
        </w:rPr>
        <w:t xml:space="preserve"> </w:t>
      </w:r>
      <w:r w:rsidR="00F90F4F">
        <w:rPr>
          <w:b/>
          <w:bCs/>
        </w:rPr>
        <w:t>and</w:t>
      </w:r>
      <w:r w:rsidRPr="00F139F4">
        <w:rPr>
          <w:b/>
          <w:bCs/>
        </w:rPr>
        <w:t xml:space="preserve"> use</w:t>
      </w:r>
      <w:r w:rsidR="00F90F4F">
        <w:rPr>
          <w:b/>
          <w:bCs/>
        </w:rPr>
        <w:t>s only</w:t>
      </w:r>
      <w:r w:rsidRPr="00F139F4">
        <w:rPr>
          <w:b/>
          <w:bCs/>
        </w:rPr>
        <w:t xml:space="preserve"> a selected number of donors. </w:t>
      </w:r>
      <w:r w:rsidR="00BB4C0C">
        <w:rPr>
          <w:b/>
          <w:bCs/>
        </w:rPr>
        <w:t xml:space="preserve">It does not scale </w:t>
      </w:r>
      <w:r w:rsidR="00F90F4F">
        <w:rPr>
          <w:b/>
          <w:bCs/>
        </w:rPr>
        <w:t>well for</w:t>
      </w:r>
      <w:r w:rsidR="00BB4C0C">
        <w:rPr>
          <w:b/>
          <w:bCs/>
        </w:rPr>
        <w:t xml:space="preserve"> other scenarios.</w:t>
      </w:r>
    </w:p>
    <w:p w14:paraId="1F844B0D" w14:textId="77777777" w:rsidR="00AE59EB" w:rsidRDefault="00AE59EB" w:rsidP="003F0B44">
      <w:pPr>
        <w:spacing w:after="160" w:line="259" w:lineRule="auto"/>
        <w:rPr>
          <w:b/>
          <w:bCs/>
        </w:rPr>
      </w:pPr>
    </w:p>
    <w:p w14:paraId="6869E5F4" w14:textId="712B2701" w:rsidR="00DD7DCC" w:rsidRDefault="00DD7DCC" w:rsidP="003F0B44">
      <w:pPr>
        <w:spacing w:after="160" w:line="259" w:lineRule="auto"/>
      </w:pPr>
      <w:r w:rsidRPr="006E0E56">
        <w:rPr>
          <w:b/>
          <w:bCs/>
          <w:u w:val="single"/>
        </w:rPr>
        <w:t>On OAM-based NCGI configuration</w:t>
      </w:r>
      <w:r w:rsidRPr="00BB4C0C">
        <w:rPr>
          <w:b/>
          <w:bCs/>
        </w:rPr>
        <w:t>:</w:t>
      </w:r>
      <w:r>
        <w:t xml:space="preserve"> The NCGI configuration on the </w:t>
      </w:r>
      <w:proofErr w:type="spellStart"/>
      <w:r>
        <w:t>mIAB</w:t>
      </w:r>
      <w:proofErr w:type="spellEnd"/>
      <w:r>
        <w:t xml:space="preserve">-node needs to be coordinated with the donor </w:t>
      </w:r>
      <w:r w:rsidR="00092265">
        <w:t xml:space="preserve">holding the </w:t>
      </w:r>
      <w:proofErr w:type="spellStart"/>
      <w:r w:rsidR="00092265">
        <w:t>gNB</w:t>
      </w:r>
      <w:proofErr w:type="spellEnd"/>
      <w:r w:rsidR="00092265">
        <w:t xml:space="preserve">-ID part of this NCGI </w:t>
      </w:r>
      <w:r>
        <w:t xml:space="preserve">since this NCGI cannot be used by another </w:t>
      </w:r>
      <w:proofErr w:type="spellStart"/>
      <w:r>
        <w:t>mIAB</w:t>
      </w:r>
      <w:proofErr w:type="spellEnd"/>
      <w:r>
        <w:t xml:space="preserve">-node or another stationary cell. In case </w:t>
      </w:r>
      <w:proofErr w:type="spellStart"/>
      <w:r w:rsidR="00092265">
        <w:t>m</w:t>
      </w:r>
      <w:r>
        <w:t>IAB</w:t>
      </w:r>
      <w:proofErr w:type="spellEnd"/>
      <w:r>
        <w:t xml:space="preserve">-node and donor use different OAMs, such a coordination can be achieved via </w:t>
      </w:r>
      <w:r w:rsidR="00092265">
        <w:t xml:space="preserve">initial </w:t>
      </w:r>
      <w:r>
        <w:t>OA</w:t>
      </w:r>
      <w:r w:rsidR="00092265">
        <w:t>M</w:t>
      </w:r>
      <w:r>
        <w:t>-based match up</w:t>
      </w:r>
      <w:r w:rsidR="00092265">
        <w:t>, which can be considered equivalent (or same) as pre-configuration</w:t>
      </w:r>
      <w:r>
        <w:t>. Dynamic</w:t>
      </w:r>
      <w:r w:rsidR="00092265">
        <w:t xml:space="preserve"> OAM-based NCGI configuration on the </w:t>
      </w:r>
      <w:proofErr w:type="spellStart"/>
      <w:r w:rsidR="00092265">
        <w:t>mIAB</w:t>
      </w:r>
      <w:proofErr w:type="spellEnd"/>
      <w:r w:rsidR="00092265">
        <w:t xml:space="preserve">-node is only possible if </w:t>
      </w:r>
      <w:proofErr w:type="spellStart"/>
      <w:r w:rsidR="00092265">
        <w:t>mIAB</w:t>
      </w:r>
      <w:proofErr w:type="spellEnd"/>
      <w:r w:rsidR="00092265">
        <w:t>-node and donor use the same OAM. This scenario is out-of-scope for RAN3.</w:t>
      </w:r>
    </w:p>
    <w:p w14:paraId="1A6E1213" w14:textId="5D03ADB0" w:rsidR="00BB4C0C" w:rsidRDefault="00BB4C0C" w:rsidP="00BB4C0C">
      <w:pPr>
        <w:spacing w:after="160" w:line="259" w:lineRule="auto"/>
        <w:rPr>
          <w:b/>
          <w:bCs/>
        </w:rPr>
      </w:pPr>
      <w:r w:rsidRPr="00F139F4">
        <w:rPr>
          <w:b/>
          <w:bCs/>
        </w:rPr>
        <w:t xml:space="preserve">Observation </w:t>
      </w:r>
      <w:r w:rsidR="00B133ED">
        <w:rPr>
          <w:b/>
          <w:bCs/>
        </w:rPr>
        <w:t>1b</w:t>
      </w:r>
      <w:r w:rsidRPr="00F139F4">
        <w:rPr>
          <w:b/>
          <w:bCs/>
        </w:rPr>
        <w:t xml:space="preserve">: </w:t>
      </w:r>
      <w:r>
        <w:rPr>
          <w:b/>
          <w:bCs/>
        </w:rPr>
        <w:t xml:space="preserve">OAM-based </w:t>
      </w:r>
      <w:r w:rsidR="00092265">
        <w:rPr>
          <w:b/>
          <w:bCs/>
        </w:rPr>
        <w:t xml:space="preserve">NCGI </w:t>
      </w:r>
      <w:r w:rsidRPr="00F139F4">
        <w:rPr>
          <w:b/>
          <w:bCs/>
        </w:rPr>
        <w:t xml:space="preserve">configuration </w:t>
      </w:r>
      <w:r>
        <w:rPr>
          <w:b/>
          <w:bCs/>
        </w:rPr>
        <w:t xml:space="preserve">can </w:t>
      </w:r>
      <w:r w:rsidR="00092265">
        <w:rPr>
          <w:b/>
          <w:bCs/>
        </w:rPr>
        <w:t xml:space="preserve">be considered </w:t>
      </w:r>
      <w:r>
        <w:rPr>
          <w:b/>
          <w:bCs/>
        </w:rPr>
        <w:t xml:space="preserve">for initial </w:t>
      </w:r>
      <w:r w:rsidR="00AE59EB">
        <w:rPr>
          <w:b/>
          <w:bCs/>
        </w:rPr>
        <w:t>matchup</w:t>
      </w:r>
      <w:r w:rsidR="00092265">
        <w:rPr>
          <w:b/>
          <w:bCs/>
        </w:rPr>
        <w:t xml:space="preserve"> between </w:t>
      </w:r>
      <w:proofErr w:type="spellStart"/>
      <w:r w:rsidR="00092265">
        <w:rPr>
          <w:b/>
          <w:bCs/>
        </w:rPr>
        <w:t>mIAB</w:t>
      </w:r>
      <w:proofErr w:type="spellEnd"/>
      <w:r w:rsidR="00092265">
        <w:rPr>
          <w:b/>
          <w:bCs/>
        </w:rPr>
        <w:t>-node and donor</w:t>
      </w:r>
      <w:r>
        <w:rPr>
          <w:b/>
          <w:bCs/>
        </w:rPr>
        <w:t xml:space="preserve"> (same as pre-configuration) but not for dynamic configuration </w:t>
      </w:r>
      <w:r w:rsidR="00092265">
        <w:rPr>
          <w:b/>
          <w:bCs/>
        </w:rPr>
        <w:t xml:space="preserve">since </w:t>
      </w:r>
      <w:proofErr w:type="spellStart"/>
      <w:r w:rsidR="00092265">
        <w:rPr>
          <w:b/>
          <w:bCs/>
        </w:rPr>
        <w:t>mIAB</w:t>
      </w:r>
      <w:proofErr w:type="spellEnd"/>
      <w:r w:rsidR="00092265">
        <w:rPr>
          <w:b/>
          <w:bCs/>
        </w:rPr>
        <w:t>-node and donor may use different OAMs.</w:t>
      </w:r>
    </w:p>
    <w:p w14:paraId="7B31A83B" w14:textId="77777777" w:rsidR="00AE59EB" w:rsidRDefault="00AE59EB" w:rsidP="003F0B44">
      <w:pPr>
        <w:spacing w:after="160" w:line="259" w:lineRule="auto"/>
        <w:rPr>
          <w:b/>
          <w:bCs/>
        </w:rPr>
      </w:pPr>
    </w:p>
    <w:p w14:paraId="72C1F941" w14:textId="1647DE77" w:rsidR="00F139F4" w:rsidRDefault="00AE59EB" w:rsidP="003F0B44">
      <w:pPr>
        <w:spacing w:after="160" w:line="259" w:lineRule="auto"/>
      </w:pPr>
      <w:r w:rsidRPr="006E0E56">
        <w:rPr>
          <w:b/>
          <w:bCs/>
          <w:u w:val="single"/>
        </w:rPr>
        <w:t xml:space="preserve">On </w:t>
      </w:r>
      <w:r w:rsidR="00BB4C0C" w:rsidRPr="006E0E56">
        <w:rPr>
          <w:b/>
          <w:bCs/>
          <w:u w:val="single"/>
        </w:rPr>
        <w:t>F1-based NCGI configuration</w:t>
      </w:r>
      <w:r w:rsidR="00BB4C0C" w:rsidRPr="00BB4C0C">
        <w:rPr>
          <w:b/>
          <w:bCs/>
        </w:rPr>
        <w:t>:</w:t>
      </w:r>
      <w:r w:rsidR="00BB4C0C">
        <w:t xml:space="preserve"> This approach provides a scalable mechanism for NCGI </w:t>
      </w:r>
      <w:r>
        <w:t>allocation to</w:t>
      </w:r>
      <w:r w:rsidR="00BB4C0C">
        <w:t xml:space="preserve"> </w:t>
      </w:r>
      <w:proofErr w:type="spellStart"/>
      <w:r w:rsidR="00BB4C0C">
        <w:t>mIAB</w:t>
      </w:r>
      <w:proofErr w:type="spellEnd"/>
      <w:r w:rsidR="00BB4C0C">
        <w:t>-nodes</w:t>
      </w:r>
      <w:r>
        <w:t>,</w:t>
      </w:r>
      <w:r w:rsidR="00BB4C0C">
        <w:t xml:space="preserve"> </w:t>
      </w:r>
      <w:r>
        <w:t>which</w:t>
      </w:r>
      <w:r w:rsidR="00BB4C0C">
        <w:t xml:space="preserve"> can be used </w:t>
      </w:r>
      <w:r>
        <w:t>when the</w:t>
      </w:r>
      <w:r w:rsidR="00BB4C0C">
        <w:t xml:space="preserve"> </w:t>
      </w:r>
      <w:proofErr w:type="spellStart"/>
      <w:r w:rsidR="00BB4C0C">
        <w:t>mIAB</w:t>
      </w:r>
      <w:proofErr w:type="spellEnd"/>
      <w:r w:rsidR="00BB4C0C">
        <w:t>-nodes travel</w:t>
      </w:r>
      <w:r>
        <w:t xml:space="preserve"> </w:t>
      </w:r>
      <w:r w:rsidR="00BB4C0C">
        <w:t xml:space="preserve">on indeterministic routes and/or </w:t>
      </w:r>
      <w:r>
        <w:t>perform DU migration among a larger set of dono</w:t>
      </w:r>
      <w:r w:rsidR="00BB4C0C">
        <w:t>r</w:t>
      </w:r>
      <w:r w:rsidR="00994003">
        <w:t>s</w:t>
      </w:r>
      <w:r w:rsidR="00BB4C0C">
        <w:t xml:space="preserve">. It </w:t>
      </w:r>
      <w:r>
        <w:t xml:space="preserve">further avoids the need for an OAM-based </w:t>
      </w:r>
      <w:proofErr w:type="spellStart"/>
      <w:r>
        <w:t>mIAB</w:t>
      </w:r>
      <w:proofErr w:type="spellEnd"/>
      <w:r>
        <w:t>-node configuration update when</w:t>
      </w:r>
      <w:r w:rsidR="00BB4C0C">
        <w:t xml:space="preserve"> new donors are </w:t>
      </w:r>
      <w:r>
        <w:t>brought up</w:t>
      </w:r>
      <w:r w:rsidR="00994003">
        <w:t xml:space="preserve"> </w:t>
      </w:r>
      <w:r w:rsidR="00BB4C0C">
        <w:t xml:space="preserve">or </w:t>
      </w:r>
      <w:r>
        <w:t xml:space="preserve">when </w:t>
      </w:r>
      <w:proofErr w:type="spellStart"/>
      <w:r w:rsidR="00BB4C0C">
        <w:t>gNB</w:t>
      </w:r>
      <w:proofErr w:type="spellEnd"/>
      <w:r w:rsidR="00BB4C0C">
        <w:t xml:space="preserve">-IDs are </w:t>
      </w:r>
      <w:r>
        <w:t>changed</w:t>
      </w:r>
      <w:r w:rsidR="00BB4C0C">
        <w:t>.</w:t>
      </w:r>
    </w:p>
    <w:p w14:paraId="08377B61" w14:textId="2E212F19" w:rsidR="00BB4C0C" w:rsidRDefault="00BB4C0C" w:rsidP="00BB4C0C">
      <w:pPr>
        <w:spacing w:after="160" w:line="259" w:lineRule="auto"/>
        <w:rPr>
          <w:b/>
          <w:bCs/>
        </w:rPr>
      </w:pPr>
      <w:r w:rsidRPr="00F139F4">
        <w:rPr>
          <w:b/>
          <w:bCs/>
        </w:rPr>
        <w:t xml:space="preserve">Observation </w:t>
      </w:r>
      <w:r w:rsidR="00B133ED">
        <w:rPr>
          <w:b/>
          <w:bCs/>
        </w:rPr>
        <w:t>1c</w:t>
      </w:r>
      <w:r w:rsidRPr="00F139F4">
        <w:rPr>
          <w:b/>
          <w:bCs/>
        </w:rPr>
        <w:t xml:space="preserve">: </w:t>
      </w:r>
      <w:r>
        <w:rPr>
          <w:b/>
          <w:bCs/>
        </w:rPr>
        <w:t xml:space="preserve">F1-based NCGI configuration </w:t>
      </w:r>
      <w:r w:rsidR="007C076D">
        <w:rPr>
          <w:b/>
          <w:bCs/>
        </w:rPr>
        <w:t>has good scalability for</w:t>
      </w:r>
      <w:r>
        <w:rPr>
          <w:b/>
          <w:bCs/>
        </w:rPr>
        <w:t xml:space="preserve"> scenarios</w:t>
      </w:r>
      <w:r w:rsidR="007C076D">
        <w:rPr>
          <w:b/>
          <w:bCs/>
        </w:rPr>
        <w:t>,</w:t>
      </w:r>
      <w:r>
        <w:rPr>
          <w:b/>
          <w:bCs/>
        </w:rPr>
        <w:t xml:space="preserve"> where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-node moves on </w:t>
      </w:r>
      <w:r w:rsidR="007C076D">
        <w:rPr>
          <w:b/>
          <w:bCs/>
        </w:rPr>
        <w:t xml:space="preserve">an </w:t>
      </w:r>
      <w:r>
        <w:rPr>
          <w:b/>
          <w:bCs/>
        </w:rPr>
        <w:t xml:space="preserve">indeterministic </w:t>
      </w:r>
      <w:r w:rsidR="007C076D">
        <w:rPr>
          <w:b/>
          <w:bCs/>
        </w:rPr>
        <w:t>route</w:t>
      </w:r>
      <w:r>
        <w:rPr>
          <w:b/>
          <w:bCs/>
        </w:rPr>
        <w:t xml:space="preserve"> </w:t>
      </w:r>
      <w:r w:rsidR="007C076D">
        <w:rPr>
          <w:b/>
          <w:bCs/>
        </w:rPr>
        <w:t>and</w:t>
      </w:r>
      <w:r w:rsidR="0080466A">
        <w:rPr>
          <w:b/>
          <w:bCs/>
        </w:rPr>
        <w:t xml:space="preserve">/or </w:t>
      </w:r>
      <w:r w:rsidR="00AE59EB">
        <w:rPr>
          <w:b/>
          <w:bCs/>
        </w:rPr>
        <w:t>perform</w:t>
      </w:r>
      <w:r w:rsidR="0080466A">
        <w:rPr>
          <w:b/>
          <w:bCs/>
        </w:rPr>
        <w:t>s</w:t>
      </w:r>
      <w:r w:rsidR="00AE59EB">
        <w:rPr>
          <w:b/>
          <w:bCs/>
        </w:rPr>
        <w:t xml:space="preserve"> DU migration</w:t>
      </w:r>
      <w:r w:rsidR="0080466A">
        <w:rPr>
          <w:b/>
          <w:bCs/>
        </w:rPr>
        <w:t>s across multiple donors</w:t>
      </w:r>
      <w:r w:rsidR="00AE59EB">
        <w:rPr>
          <w:b/>
          <w:bCs/>
        </w:rPr>
        <w:t>.</w:t>
      </w:r>
    </w:p>
    <w:p w14:paraId="2D0A2B1E" w14:textId="77777777" w:rsidR="0080466A" w:rsidRDefault="0080466A" w:rsidP="003F0B44">
      <w:pPr>
        <w:spacing w:after="160" w:line="259" w:lineRule="auto"/>
      </w:pPr>
    </w:p>
    <w:p w14:paraId="64515F21" w14:textId="4A189B49" w:rsidR="00F139F4" w:rsidRDefault="0055198B" w:rsidP="003F0B44">
      <w:pPr>
        <w:spacing w:after="160" w:line="259" w:lineRule="auto"/>
      </w:pPr>
      <w:r>
        <w:t xml:space="preserve">Based on this analysis, it should be possible to provide the NCGI for the target logical </w:t>
      </w:r>
      <w:proofErr w:type="spellStart"/>
      <w:r>
        <w:t>mIAB</w:t>
      </w:r>
      <w:proofErr w:type="spellEnd"/>
      <w:r>
        <w:t>-DU’s cell via pre-configuration and via F1-based configuration.</w:t>
      </w:r>
    </w:p>
    <w:p w14:paraId="13C30FB4" w14:textId="39E9E360" w:rsidR="0055198B" w:rsidRPr="0055198B" w:rsidRDefault="0055198B" w:rsidP="003F0B44">
      <w:pPr>
        <w:spacing w:after="160" w:line="259" w:lineRule="auto"/>
        <w:rPr>
          <w:b/>
          <w:bCs/>
        </w:rPr>
      </w:pPr>
      <w:r w:rsidRPr="0055198B">
        <w:rPr>
          <w:b/>
          <w:bCs/>
        </w:rPr>
        <w:t>Proposal 1</w:t>
      </w:r>
      <w:r w:rsidR="00B133ED">
        <w:rPr>
          <w:b/>
          <w:bCs/>
        </w:rPr>
        <w:t>a</w:t>
      </w:r>
      <w:r w:rsidRPr="0055198B">
        <w:rPr>
          <w:b/>
          <w:bCs/>
        </w:rPr>
        <w:t xml:space="preserve">: For DU migration, </w:t>
      </w:r>
      <w:r w:rsidR="008F2D01">
        <w:rPr>
          <w:b/>
          <w:bCs/>
        </w:rPr>
        <w:t xml:space="preserve">the </w:t>
      </w:r>
      <w:r w:rsidRPr="0055198B">
        <w:rPr>
          <w:b/>
          <w:bCs/>
        </w:rPr>
        <w:t xml:space="preserve">NCGI of the target logical </w:t>
      </w:r>
      <w:proofErr w:type="spellStart"/>
      <w:r w:rsidRPr="0055198B">
        <w:rPr>
          <w:b/>
          <w:bCs/>
        </w:rPr>
        <w:t>mIAB</w:t>
      </w:r>
      <w:proofErr w:type="spellEnd"/>
      <w:r w:rsidRPr="0055198B">
        <w:rPr>
          <w:b/>
          <w:bCs/>
        </w:rPr>
        <w:t>-DU</w:t>
      </w:r>
      <w:r>
        <w:rPr>
          <w:b/>
          <w:bCs/>
        </w:rPr>
        <w:t xml:space="preserve">-cell can </w:t>
      </w:r>
      <w:r w:rsidRPr="0055198B">
        <w:rPr>
          <w:b/>
          <w:bCs/>
        </w:rPr>
        <w:t xml:space="preserve">be provided via pre-configuration </w:t>
      </w:r>
      <w:r>
        <w:rPr>
          <w:b/>
          <w:bCs/>
        </w:rPr>
        <w:t>and</w:t>
      </w:r>
      <w:r w:rsidRPr="0055198B">
        <w:rPr>
          <w:b/>
          <w:bCs/>
        </w:rPr>
        <w:t xml:space="preserve"> via F1-based configuration.</w:t>
      </w:r>
    </w:p>
    <w:p w14:paraId="764F6A31" w14:textId="77777777" w:rsidR="0080466A" w:rsidRDefault="0080466A" w:rsidP="003F0B44">
      <w:pPr>
        <w:spacing w:after="160" w:line="259" w:lineRule="auto"/>
      </w:pPr>
    </w:p>
    <w:p w14:paraId="13242475" w14:textId="7D364AEC" w:rsidR="00BB4C0C" w:rsidRDefault="007C076D" w:rsidP="003F0B44">
      <w:pPr>
        <w:spacing w:after="160" w:line="259" w:lineRule="auto"/>
      </w:pPr>
      <w:r>
        <w:lastRenderedPageBreak/>
        <w:t>The</w:t>
      </w:r>
      <w:r w:rsidR="008F2D01">
        <w:t xml:space="preserve"> </w:t>
      </w:r>
      <w:r>
        <w:t>following</w:t>
      </w:r>
      <w:r w:rsidR="008F2D01">
        <w:t xml:space="preserve"> approach</w:t>
      </w:r>
      <w:r w:rsidR="0080466A">
        <w:t xml:space="preserve"> </w:t>
      </w:r>
      <w:r>
        <w:t>is proposed</w:t>
      </w:r>
      <w:r w:rsidR="0080466A">
        <w:t xml:space="preserve"> for NCGI reconfiguration</w:t>
      </w:r>
      <w:r w:rsidR="008F2D01">
        <w:t>:</w:t>
      </w:r>
    </w:p>
    <w:p w14:paraId="6B5CB4EF" w14:textId="17C07DAF" w:rsidR="008F2D01" w:rsidRPr="008F2D01" w:rsidRDefault="008F2D01" w:rsidP="007C076D">
      <w:pPr>
        <w:pStyle w:val="ListParagraph"/>
        <w:numPr>
          <w:ilvl w:val="0"/>
          <w:numId w:val="10"/>
        </w:numPr>
        <w:spacing w:after="160" w:line="259" w:lineRule="auto"/>
        <w:contextualSpacing w:val="0"/>
      </w:pPr>
      <w:r w:rsidRPr="008F2D01">
        <w:t xml:space="preserve">The </w:t>
      </w:r>
      <w:proofErr w:type="spellStart"/>
      <w:r>
        <w:t>mIAB</w:t>
      </w:r>
      <w:proofErr w:type="spellEnd"/>
      <w:r>
        <w:t xml:space="preserve">-DU </w:t>
      </w:r>
      <w:r w:rsidR="007C076D">
        <w:t>can</w:t>
      </w:r>
      <w:r>
        <w:t xml:space="preserve"> include </w:t>
      </w:r>
      <w:r w:rsidR="00EC4068">
        <w:t>a preconfigured</w:t>
      </w:r>
      <w:r>
        <w:t xml:space="preserve"> NCGI </w:t>
      </w:r>
      <w:r w:rsidR="00EC4068">
        <w:t>for</w:t>
      </w:r>
      <w:r>
        <w:t xml:space="preserve"> the served cell</w:t>
      </w:r>
      <w:r w:rsidRPr="008F2D01">
        <w:t xml:space="preserve"> in the F1 Setup Request.</w:t>
      </w:r>
    </w:p>
    <w:p w14:paraId="61909CC2" w14:textId="3A27B6D7" w:rsidR="008F2D01" w:rsidRPr="008F2D01" w:rsidRDefault="008F2D01" w:rsidP="007C076D">
      <w:pPr>
        <w:pStyle w:val="ListParagraph"/>
        <w:numPr>
          <w:ilvl w:val="0"/>
          <w:numId w:val="10"/>
        </w:numPr>
        <w:spacing w:after="160" w:line="259" w:lineRule="auto"/>
        <w:contextualSpacing w:val="0"/>
      </w:pPr>
      <w:r w:rsidRPr="008F2D01">
        <w:t>The CU may provide a</w:t>
      </w:r>
      <w:r>
        <w:t xml:space="preserve"> new </w:t>
      </w:r>
      <w:r w:rsidRPr="008F2D01">
        <w:t xml:space="preserve">NCGI </w:t>
      </w:r>
      <w:r w:rsidR="00FB7156">
        <w:t xml:space="preserve">for the cell </w:t>
      </w:r>
      <w:r w:rsidRPr="008F2D01">
        <w:t>in the F1 Setup Response.</w:t>
      </w:r>
    </w:p>
    <w:p w14:paraId="34B8B9A5" w14:textId="56D8DFC3" w:rsidR="008F2D01" w:rsidRPr="008F2D01" w:rsidRDefault="008F2D01" w:rsidP="008F2D01">
      <w:pPr>
        <w:spacing w:after="160" w:line="259" w:lineRule="auto"/>
        <w:rPr>
          <w:b/>
          <w:bCs/>
        </w:rPr>
      </w:pPr>
      <w:r w:rsidRPr="008F2D01">
        <w:rPr>
          <w:b/>
          <w:bCs/>
        </w:rPr>
        <w:t xml:space="preserve">Proposal </w:t>
      </w:r>
      <w:r w:rsidR="00B133ED">
        <w:rPr>
          <w:b/>
          <w:bCs/>
        </w:rPr>
        <w:t>1b</w:t>
      </w:r>
      <w:r w:rsidRPr="008F2D01">
        <w:rPr>
          <w:b/>
          <w:bCs/>
        </w:rPr>
        <w:t xml:space="preserve">: </w:t>
      </w:r>
      <w:r w:rsidR="001F1680">
        <w:rPr>
          <w:b/>
          <w:bCs/>
        </w:rPr>
        <w:t>For mobile IAB-node, t</w:t>
      </w:r>
      <w:r w:rsidRPr="008F2D01">
        <w:rPr>
          <w:b/>
          <w:bCs/>
        </w:rPr>
        <w:t xml:space="preserve">he </w:t>
      </w:r>
      <w:proofErr w:type="spellStart"/>
      <w:r w:rsidRPr="008F2D01">
        <w:rPr>
          <w:b/>
          <w:bCs/>
        </w:rPr>
        <w:t>mIAB</w:t>
      </w:r>
      <w:proofErr w:type="spellEnd"/>
      <w:r w:rsidRPr="008F2D01">
        <w:rPr>
          <w:b/>
          <w:bCs/>
        </w:rPr>
        <w:t xml:space="preserve">-DU-cell </w:t>
      </w:r>
      <w:r w:rsidR="00EC4068">
        <w:rPr>
          <w:b/>
          <w:bCs/>
        </w:rPr>
        <w:t xml:space="preserve">can include a preconfigured </w:t>
      </w:r>
      <w:r>
        <w:rPr>
          <w:b/>
          <w:bCs/>
        </w:rPr>
        <w:t xml:space="preserve">NCGI for </w:t>
      </w:r>
      <w:r w:rsidR="00E1376C">
        <w:rPr>
          <w:b/>
          <w:bCs/>
        </w:rPr>
        <w:t>a</w:t>
      </w:r>
      <w:r>
        <w:rPr>
          <w:b/>
          <w:bCs/>
        </w:rPr>
        <w:t xml:space="preserve"> served cell </w:t>
      </w:r>
      <w:r w:rsidRPr="008F2D01">
        <w:rPr>
          <w:b/>
          <w:bCs/>
        </w:rPr>
        <w:t>in the F1 Setup Request</w:t>
      </w:r>
      <w:r>
        <w:rPr>
          <w:b/>
          <w:bCs/>
        </w:rPr>
        <w:t>, and the CU may provide a new NCGI for this cell in the F1 Setup Response.</w:t>
      </w:r>
    </w:p>
    <w:p w14:paraId="4D8C8406" w14:textId="5516D6CC" w:rsidR="00F139F4" w:rsidRDefault="00F139F4" w:rsidP="003F0B44">
      <w:pPr>
        <w:spacing w:after="160" w:line="259" w:lineRule="auto"/>
      </w:pPr>
    </w:p>
    <w:p w14:paraId="05428577" w14:textId="2B59A46A" w:rsidR="00E1376C" w:rsidRPr="00EA1745" w:rsidRDefault="00E1376C" w:rsidP="00E1376C">
      <w:pPr>
        <w:pStyle w:val="Heading2"/>
      </w:pPr>
      <w:r w:rsidRPr="00D76CCE">
        <w:rPr>
          <w:highlight w:val="yellow"/>
        </w:rPr>
        <w:t xml:space="preserve">Issue </w:t>
      </w:r>
      <w:r>
        <w:rPr>
          <w:highlight w:val="yellow"/>
        </w:rPr>
        <w:t>2</w:t>
      </w:r>
      <w:r w:rsidRPr="00D76CCE">
        <w:rPr>
          <w:highlight w:val="yellow"/>
        </w:rPr>
        <w:t>:</w:t>
      </w:r>
      <w:r>
        <w:t xml:space="preserve"> Configuration </w:t>
      </w:r>
      <w:r w:rsidR="00785482">
        <w:t xml:space="preserve">of </w:t>
      </w:r>
      <w:r>
        <w:t>dynamic TAC</w:t>
      </w:r>
    </w:p>
    <w:p w14:paraId="286179D7" w14:textId="1A7E99FB" w:rsidR="007825E2" w:rsidRDefault="007825E2" w:rsidP="00E1376C">
      <w:pPr>
        <w:spacing w:after="160" w:line="259" w:lineRule="auto"/>
      </w:pPr>
      <w:r>
        <w:t xml:space="preserve">The TAC broadcast by the </w:t>
      </w:r>
      <w:proofErr w:type="spellStart"/>
      <w:r>
        <w:t>mIAB</w:t>
      </w:r>
      <w:proofErr w:type="spellEnd"/>
      <w:r>
        <w:t xml:space="preserve">-DU could either reflect the TA of the </w:t>
      </w:r>
      <w:proofErr w:type="spellStart"/>
      <w:r>
        <w:t>mIAB</w:t>
      </w:r>
      <w:proofErr w:type="spellEnd"/>
      <w:r>
        <w:t xml:space="preserve">-DU’s CU or that of the </w:t>
      </w:r>
      <w:proofErr w:type="spellStart"/>
      <w:r>
        <w:t>mIAB</w:t>
      </w:r>
      <w:proofErr w:type="spellEnd"/>
      <w:r>
        <w:t>-MT’s CU.</w:t>
      </w:r>
    </w:p>
    <w:p w14:paraId="57CF1588" w14:textId="1D7EE69B" w:rsidR="007825E2" w:rsidRDefault="007825E2" w:rsidP="00E1376C">
      <w:pPr>
        <w:spacing w:after="160" w:line="259" w:lineRule="auto"/>
      </w:pPr>
      <w:r>
        <w:t>RAN3 agreed: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9487"/>
      </w:tblGrid>
      <w:tr w:rsidR="00754EED" w14:paraId="7F083809" w14:textId="77777777" w:rsidTr="00754EED">
        <w:tc>
          <w:tcPr>
            <w:tcW w:w="9631" w:type="dxa"/>
          </w:tcPr>
          <w:p w14:paraId="6E7D0F3F" w14:textId="77777777" w:rsidR="00754EED" w:rsidRDefault="00754EED" w:rsidP="00754EED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further discuss the following options for TAC/RANAC issue:</w:t>
            </w:r>
          </w:p>
          <w:p w14:paraId="4EBED8A0" w14:textId="77777777" w:rsidR="00754EED" w:rsidRDefault="00754EED" w:rsidP="00754EED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ab/>
              <w:t xml:space="preserve">Option 1: The TAC/RANAC for the mobile IAB cell can be changed </w:t>
            </w:r>
            <w:proofErr w:type="gramStart"/>
            <w:r w:rsidRPr="007825E2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</w:rPr>
              <w:t>in order to</w:t>
            </w:r>
            <w:proofErr w:type="gramEnd"/>
            <w:r w:rsidRPr="007825E2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</w:rPr>
              <w:t xml:space="preserve"> reflect the physical location when the mobile IAB-node moves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. </w:t>
            </w:r>
          </w:p>
          <w:p w14:paraId="5F489851" w14:textId="50341467" w:rsidR="00754EED" w:rsidRPr="00754EED" w:rsidRDefault="00754EED" w:rsidP="00754EED">
            <w:pPr>
              <w:spacing w:after="160" w:line="259" w:lineRule="auto"/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  Option 2: Using static TAC/RANAC for mobile IAB when it moves. Involvement of SA2 may be needed</w:t>
            </w:r>
          </w:p>
        </w:tc>
      </w:tr>
    </w:tbl>
    <w:p w14:paraId="7EC9AF6C" w14:textId="77777777" w:rsidR="00754EED" w:rsidRDefault="00754EED" w:rsidP="00E1376C">
      <w:pPr>
        <w:spacing w:after="160" w:line="259" w:lineRule="auto"/>
      </w:pPr>
    </w:p>
    <w:p w14:paraId="0FABB6E9" w14:textId="28D6F79C" w:rsidR="00754EED" w:rsidRDefault="00754EED" w:rsidP="00E1376C">
      <w:pPr>
        <w:spacing w:after="160" w:line="259" w:lineRule="auto"/>
      </w:pPr>
      <w:r>
        <w:t>RAN3 further agreed: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456"/>
      </w:tblGrid>
      <w:tr w:rsidR="00754EED" w14:paraId="1B81F11C" w14:textId="77777777" w:rsidTr="00754EED">
        <w:tc>
          <w:tcPr>
            <w:tcW w:w="9456" w:type="dxa"/>
          </w:tcPr>
          <w:p w14:paraId="5DA661C9" w14:textId="77777777" w:rsidR="00754EED" w:rsidRPr="00072E42" w:rsidRDefault="00754EED" w:rsidP="00754EED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Static TAC solution is not pursued. </w:t>
            </w:r>
          </w:p>
          <w:p w14:paraId="0543F7B1" w14:textId="1ADE1C4C" w:rsidR="00754EED" w:rsidRDefault="00754EED" w:rsidP="00754EED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RAN3 assumes that dynamic TAC solution should be supported. </w:t>
            </w:r>
          </w:p>
        </w:tc>
      </w:tr>
    </w:tbl>
    <w:p w14:paraId="5A96628A" w14:textId="24150A91" w:rsidR="00754EED" w:rsidRDefault="00754EED" w:rsidP="00E1376C">
      <w:pPr>
        <w:spacing w:after="160" w:line="259" w:lineRule="auto"/>
      </w:pPr>
    </w:p>
    <w:p w14:paraId="56431A0B" w14:textId="343113BD" w:rsidR="00754EED" w:rsidRDefault="00754EED" w:rsidP="00E1376C">
      <w:pPr>
        <w:spacing w:after="160" w:line="259" w:lineRule="auto"/>
      </w:pPr>
      <w:r>
        <w:t>These agreements lead to the following observations:</w:t>
      </w:r>
    </w:p>
    <w:p w14:paraId="5FE92E97" w14:textId="1E8A870E" w:rsidR="00754EED" w:rsidRDefault="00754EED" w:rsidP="00754EED">
      <w:pPr>
        <w:spacing w:after="160" w:line="259" w:lineRule="auto"/>
        <w:rPr>
          <w:b/>
          <w:bCs/>
        </w:rPr>
      </w:pPr>
      <w:r w:rsidRPr="00600C54">
        <w:rPr>
          <w:b/>
          <w:bCs/>
        </w:rPr>
        <w:t>Observation</w:t>
      </w:r>
      <w:r>
        <w:rPr>
          <w:b/>
          <w:bCs/>
        </w:rPr>
        <w:t xml:space="preserve"> </w:t>
      </w:r>
      <w:r w:rsidR="00B133ED">
        <w:rPr>
          <w:b/>
          <w:bCs/>
        </w:rPr>
        <w:t>2</w:t>
      </w:r>
      <w:r>
        <w:rPr>
          <w:b/>
          <w:bCs/>
        </w:rPr>
        <w:t>a</w:t>
      </w:r>
      <w:r w:rsidRPr="00600C54">
        <w:rPr>
          <w:b/>
          <w:bCs/>
        </w:rPr>
        <w:t xml:space="preserve">: </w:t>
      </w:r>
      <w:r w:rsidR="00D2687C">
        <w:rPr>
          <w:b/>
          <w:bCs/>
        </w:rPr>
        <w:t>Since t</w:t>
      </w:r>
      <w:r>
        <w:rPr>
          <w:b/>
          <w:bCs/>
        </w:rPr>
        <w:t xml:space="preserve">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</w:t>
      </w:r>
      <w:r w:rsidR="00872955">
        <w:rPr>
          <w:b/>
          <w:bCs/>
        </w:rPr>
        <w:t>’s CU</w:t>
      </w:r>
      <w:r>
        <w:rPr>
          <w:b/>
          <w:bCs/>
        </w:rPr>
        <w:t xml:space="preserve"> represents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-node’s physical location</w:t>
      </w:r>
      <w:r w:rsidR="00D2687C">
        <w:rPr>
          <w:b/>
          <w:bCs/>
        </w:rPr>
        <w:t>, t</w:t>
      </w:r>
      <w:r>
        <w:rPr>
          <w:b/>
          <w:bCs/>
        </w:rPr>
        <w:t xml:space="preserve">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-DU-cell </w:t>
      </w:r>
      <w:r w:rsidR="00D2687C">
        <w:rPr>
          <w:b/>
          <w:bCs/>
        </w:rPr>
        <w:t>should</w:t>
      </w:r>
      <w:r>
        <w:rPr>
          <w:b/>
          <w:bCs/>
        </w:rPr>
        <w:t xml:space="preserve"> broadcast </w:t>
      </w:r>
      <w:r w:rsidR="00872955">
        <w:rPr>
          <w:b/>
          <w:bCs/>
        </w:rPr>
        <w:t xml:space="preserve">a TAC owned by the </w:t>
      </w:r>
      <w:proofErr w:type="spellStart"/>
      <w:r w:rsidR="00872955">
        <w:rPr>
          <w:b/>
          <w:bCs/>
        </w:rPr>
        <w:t>mIAB</w:t>
      </w:r>
      <w:proofErr w:type="spellEnd"/>
      <w:r w:rsidR="00872955">
        <w:rPr>
          <w:b/>
          <w:bCs/>
        </w:rPr>
        <w:t>-MT’s CU</w:t>
      </w:r>
      <w:r w:rsidR="002F3FF4">
        <w:rPr>
          <w:b/>
          <w:bCs/>
        </w:rPr>
        <w:t xml:space="preserve"> (Note: it does not have to be the same as the TAC received by the </w:t>
      </w:r>
      <w:proofErr w:type="spellStart"/>
      <w:r w:rsidR="002F3FF4">
        <w:rPr>
          <w:b/>
          <w:bCs/>
        </w:rPr>
        <w:t>mIAB</w:t>
      </w:r>
      <w:proofErr w:type="spellEnd"/>
      <w:r w:rsidR="002F3FF4">
        <w:rPr>
          <w:b/>
          <w:bCs/>
        </w:rPr>
        <w:t>-MT).</w:t>
      </w:r>
    </w:p>
    <w:p w14:paraId="726AA368" w14:textId="20370881" w:rsidR="00754EED" w:rsidRDefault="00754EED" w:rsidP="00754EED">
      <w:pPr>
        <w:spacing w:after="160" w:line="259" w:lineRule="auto"/>
        <w:rPr>
          <w:b/>
          <w:bCs/>
        </w:rPr>
      </w:pPr>
      <w:r>
        <w:rPr>
          <w:b/>
          <w:bCs/>
        </w:rPr>
        <w:t xml:space="preserve">Observation </w:t>
      </w:r>
      <w:r w:rsidR="00B133ED">
        <w:rPr>
          <w:b/>
          <w:bCs/>
        </w:rPr>
        <w:t>2</w:t>
      </w:r>
      <w:r>
        <w:rPr>
          <w:b/>
          <w:bCs/>
        </w:rPr>
        <w:t xml:space="preserve">b: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-DU-cell TAC needs to be supported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-DU’s CU.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-DU’s CU and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-MT’s CU must </w:t>
      </w:r>
      <w:r w:rsidR="00872955">
        <w:rPr>
          <w:b/>
          <w:bCs/>
        </w:rPr>
        <w:t>therefore own the same TAC, i.e., belong to the same tracking area</w:t>
      </w:r>
      <w:r>
        <w:rPr>
          <w:b/>
          <w:bCs/>
        </w:rPr>
        <w:t>.</w:t>
      </w:r>
    </w:p>
    <w:p w14:paraId="4EBECDCD" w14:textId="436BEF3D" w:rsidR="00754EED" w:rsidRDefault="00754EED" w:rsidP="00754EED">
      <w:pPr>
        <w:spacing w:after="160" w:line="259" w:lineRule="auto"/>
        <w:rPr>
          <w:b/>
          <w:bCs/>
        </w:rPr>
      </w:pPr>
      <w:r>
        <w:rPr>
          <w:b/>
          <w:bCs/>
        </w:rPr>
        <w:t xml:space="preserve">Observation </w:t>
      </w:r>
      <w:r w:rsidR="00B133ED">
        <w:rPr>
          <w:b/>
          <w:bCs/>
        </w:rPr>
        <w:t>2</w:t>
      </w:r>
      <w:r>
        <w:rPr>
          <w:b/>
          <w:bCs/>
        </w:rPr>
        <w:t xml:space="preserve">c: </w:t>
      </w:r>
      <w:r w:rsidR="0040301A">
        <w:rPr>
          <w:b/>
          <w:bCs/>
        </w:rPr>
        <w:t>When</w:t>
      </w:r>
      <w:r>
        <w:rPr>
          <w:b/>
          <w:bCs/>
        </w:rPr>
        <w:t xml:space="preserve">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-MT moves to a </w:t>
      </w:r>
      <w:r w:rsidR="003F7E61">
        <w:rPr>
          <w:b/>
          <w:bCs/>
        </w:rPr>
        <w:t xml:space="preserve">new </w:t>
      </w:r>
      <w:r>
        <w:rPr>
          <w:b/>
          <w:bCs/>
        </w:rPr>
        <w:t>CU</w:t>
      </w:r>
      <w:r w:rsidR="00872955">
        <w:rPr>
          <w:b/>
          <w:bCs/>
        </w:rPr>
        <w:t xml:space="preserve">, which </w:t>
      </w:r>
      <w:r w:rsidR="0040301A">
        <w:rPr>
          <w:b/>
          <w:bCs/>
        </w:rPr>
        <w:t>does not own the TAC broadcast</w:t>
      </w:r>
      <w:r w:rsidR="00D2687C">
        <w:rPr>
          <w:b/>
          <w:bCs/>
        </w:rPr>
        <w:t>ed</w:t>
      </w:r>
      <w:r w:rsidR="0040301A">
        <w:rPr>
          <w:b/>
          <w:bCs/>
        </w:rPr>
        <w:t xml:space="preserve"> by the </w:t>
      </w:r>
      <w:proofErr w:type="spellStart"/>
      <w:r w:rsidR="0040301A">
        <w:rPr>
          <w:b/>
          <w:bCs/>
        </w:rPr>
        <w:t>mIAB</w:t>
      </w:r>
      <w:proofErr w:type="spellEnd"/>
      <w:r w:rsidR="0040301A">
        <w:rPr>
          <w:b/>
          <w:bCs/>
        </w:rPr>
        <w:t xml:space="preserve">-DU,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-DU’s CU</w:t>
      </w:r>
      <w:r w:rsidR="0040301A">
        <w:rPr>
          <w:b/>
          <w:bCs/>
        </w:rPr>
        <w:t xml:space="preserve"> has the following options</w:t>
      </w:r>
      <w:r>
        <w:rPr>
          <w:b/>
          <w:bCs/>
        </w:rPr>
        <w:t>:</w:t>
      </w:r>
    </w:p>
    <w:p w14:paraId="6DACA6DE" w14:textId="6EDDB85D" w:rsidR="00754EED" w:rsidRDefault="00754EED" w:rsidP="00754EED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t xml:space="preserve">Option 1: </w:t>
      </w:r>
      <w:r w:rsidR="002F3FF4">
        <w:rPr>
          <w:b/>
          <w:bCs/>
        </w:rPr>
        <w:t xml:space="preserve">In case the </w:t>
      </w:r>
      <w:proofErr w:type="spellStart"/>
      <w:r w:rsidR="002F3FF4">
        <w:rPr>
          <w:b/>
          <w:bCs/>
        </w:rPr>
        <w:t>mIAB</w:t>
      </w:r>
      <w:proofErr w:type="spellEnd"/>
      <w:r w:rsidR="002F3FF4">
        <w:rPr>
          <w:b/>
          <w:bCs/>
        </w:rPr>
        <w:t>-MT’s new CU</w:t>
      </w:r>
      <w:r w:rsidR="0040301A">
        <w:rPr>
          <w:b/>
          <w:bCs/>
        </w:rPr>
        <w:t xml:space="preserve"> </w:t>
      </w:r>
      <w:r w:rsidR="00D2687C">
        <w:rPr>
          <w:b/>
          <w:bCs/>
        </w:rPr>
        <w:t>shares</w:t>
      </w:r>
      <w:r>
        <w:rPr>
          <w:b/>
          <w:bCs/>
        </w:rPr>
        <w:t xml:space="preserve"> </w:t>
      </w:r>
      <w:r w:rsidR="0040301A">
        <w:rPr>
          <w:b/>
          <w:bCs/>
        </w:rPr>
        <w:t>a</w:t>
      </w:r>
      <w:r w:rsidR="00D2687C">
        <w:rPr>
          <w:b/>
          <w:bCs/>
        </w:rPr>
        <w:t>nother</w:t>
      </w:r>
      <w:r w:rsidR="0040301A">
        <w:rPr>
          <w:b/>
          <w:bCs/>
        </w:rPr>
        <w:t xml:space="preserve"> TAC </w:t>
      </w:r>
      <w:r w:rsidR="00D2687C">
        <w:rPr>
          <w:b/>
          <w:bCs/>
        </w:rPr>
        <w:t>with the</w:t>
      </w:r>
      <w:r w:rsidR="0040301A">
        <w:rPr>
          <w:b/>
          <w:bCs/>
        </w:rPr>
        <w:t xml:space="preserve"> </w:t>
      </w:r>
      <w:proofErr w:type="spellStart"/>
      <w:r w:rsidR="0040301A">
        <w:rPr>
          <w:b/>
          <w:bCs/>
        </w:rPr>
        <w:t>mIAB</w:t>
      </w:r>
      <w:proofErr w:type="spellEnd"/>
      <w:r w:rsidR="0040301A">
        <w:rPr>
          <w:b/>
          <w:bCs/>
        </w:rPr>
        <w:t>-</w:t>
      </w:r>
      <w:r w:rsidR="002F3FF4">
        <w:rPr>
          <w:b/>
          <w:bCs/>
        </w:rPr>
        <w:t>DU</w:t>
      </w:r>
      <w:r w:rsidR="0040301A">
        <w:rPr>
          <w:b/>
          <w:bCs/>
        </w:rPr>
        <w:t>’s CU</w:t>
      </w:r>
      <w:r w:rsidR="002F3FF4">
        <w:rPr>
          <w:b/>
          <w:bCs/>
        </w:rPr>
        <w:t xml:space="preserve">, the </w:t>
      </w:r>
      <w:proofErr w:type="spellStart"/>
      <w:r w:rsidR="002F3FF4">
        <w:rPr>
          <w:b/>
          <w:bCs/>
        </w:rPr>
        <w:t>mIAB</w:t>
      </w:r>
      <w:proofErr w:type="spellEnd"/>
      <w:r w:rsidR="002F3FF4">
        <w:rPr>
          <w:b/>
          <w:bCs/>
        </w:rPr>
        <w:t>-DU’s CU</w:t>
      </w:r>
      <w:r w:rsidR="0040301A">
        <w:rPr>
          <w:b/>
          <w:bCs/>
        </w:rPr>
        <w:t xml:space="preserve"> reconfigures the </w:t>
      </w:r>
      <w:proofErr w:type="spellStart"/>
      <w:r w:rsidR="0040301A">
        <w:rPr>
          <w:b/>
          <w:bCs/>
        </w:rPr>
        <w:t>mIAB</w:t>
      </w:r>
      <w:proofErr w:type="spellEnd"/>
      <w:r w:rsidR="0040301A">
        <w:rPr>
          <w:b/>
          <w:bCs/>
        </w:rPr>
        <w:t xml:space="preserve">-DU to broadcast this </w:t>
      </w:r>
      <w:r w:rsidR="002F3FF4">
        <w:rPr>
          <w:b/>
          <w:bCs/>
        </w:rPr>
        <w:t>shared</w:t>
      </w:r>
      <w:r w:rsidR="00D2687C">
        <w:rPr>
          <w:b/>
          <w:bCs/>
        </w:rPr>
        <w:t xml:space="preserve"> </w:t>
      </w:r>
      <w:r w:rsidR="0040301A">
        <w:rPr>
          <w:b/>
          <w:bCs/>
        </w:rPr>
        <w:t>TAC.</w:t>
      </w:r>
    </w:p>
    <w:p w14:paraId="782288E4" w14:textId="11E078DB" w:rsidR="00754EED" w:rsidRDefault="00754EED" w:rsidP="00754EED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t xml:space="preserve">Option 2: </w:t>
      </w:r>
      <w:r w:rsidR="00D2687C">
        <w:rPr>
          <w:b/>
          <w:bCs/>
        </w:rPr>
        <w:t>It m</w:t>
      </w:r>
      <w:r>
        <w:rPr>
          <w:b/>
          <w:bCs/>
        </w:rPr>
        <w:t xml:space="preserve">igrates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 to a CU, which </w:t>
      </w:r>
      <w:r w:rsidR="0040301A">
        <w:rPr>
          <w:b/>
          <w:bCs/>
        </w:rPr>
        <w:t xml:space="preserve">shares a TAC with the </w:t>
      </w:r>
      <w:proofErr w:type="spellStart"/>
      <w:r w:rsidR="0040301A">
        <w:rPr>
          <w:b/>
          <w:bCs/>
        </w:rPr>
        <w:t>mIAB</w:t>
      </w:r>
      <w:proofErr w:type="spellEnd"/>
      <w:r w:rsidR="0040301A">
        <w:rPr>
          <w:b/>
          <w:bCs/>
        </w:rPr>
        <w:t>-MT’s new CU.</w:t>
      </w:r>
    </w:p>
    <w:p w14:paraId="3B82184F" w14:textId="5C95CF1D" w:rsidR="00754EED" w:rsidRDefault="00754EED" w:rsidP="00754EED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t xml:space="preserve">Option 3: </w:t>
      </w:r>
      <w:r w:rsidR="00D2687C">
        <w:rPr>
          <w:b/>
          <w:bCs/>
        </w:rPr>
        <w:t>It a</w:t>
      </w:r>
      <w:r>
        <w:rPr>
          <w:b/>
          <w:bCs/>
        </w:rPr>
        <w:t xml:space="preserve">ssumes ownership of </w:t>
      </w:r>
      <w:r w:rsidR="0040301A">
        <w:rPr>
          <w:b/>
          <w:bCs/>
        </w:rPr>
        <w:t xml:space="preserve">a </w:t>
      </w:r>
      <w:r>
        <w:rPr>
          <w:b/>
          <w:bCs/>
        </w:rPr>
        <w:t>TAC</w:t>
      </w:r>
      <w:r w:rsidR="0040301A">
        <w:rPr>
          <w:b/>
          <w:bCs/>
        </w:rPr>
        <w:t xml:space="preserve"> that is also owned by the </w:t>
      </w:r>
      <w:proofErr w:type="spellStart"/>
      <w:r w:rsidR="0040301A">
        <w:rPr>
          <w:b/>
          <w:bCs/>
        </w:rPr>
        <w:t>mIAB</w:t>
      </w:r>
      <w:proofErr w:type="spellEnd"/>
      <w:r w:rsidR="0040301A">
        <w:rPr>
          <w:b/>
          <w:bCs/>
        </w:rPr>
        <w:t>-MT’s CU,</w:t>
      </w:r>
      <w:r>
        <w:rPr>
          <w:b/>
          <w:bCs/>
        </w:rPr>
        <w:t xml:space="preserve"> and</w:t>
      </w:r>
      <w:r w:rsidR="0040301A">
        <w:rPr>
          <w:b/>
          <w:bCs/>
        </w:rPr>
        <w:t xml:space="preserve"> it</w:t>
      </w:r>
      <w:r>
        <w:rPr>
          <w:b/>
          <w:bCs/>
        </w:rPr>
        <w:t xml:space="preserve"> updates all AMFs and </w:t>
      </w:r>
      <w:proofErr w:type="spellStart"/>
      <w:r>
        <w:rPr>
          <w:b/>
          <w:bCs/>
        </w:rPr>
        <w:t>neighbor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gNBs</w:t>
      </w:r>
      <w:proofErr w:type="spellEnd"/>
      <w:r w:rsidR="0040301A">
        <w:rPr>
          <w:b/>
          <w:bCs/>
        </w:rPr>
        <w:t xml:space="preserve"> about this new TAC ownership,</w:t>
      </w:r>
      <w:r>
        <w:rPr>
          <w:b/>
          <w:bCs/>
        </w:rPr>
        <w:t xml:space="preserve"> accordingly. </w:t>
      </w:r>
    </w:p>
    <w:p w14:paraId="06CE35F8" w14:textId="0F2AF022" w:rsidR="008F2D01" w:rsidRDefault="00C51FBD" w:rsidP="003F0B44">
      <w:pPr>
        <w:spacing w:after="160" w:line="259" w:lineRule="auto"/>
      </w:pPr>
      <w:r>
        <w:t xml:space="preserve">Options 1 and 2 </w:t>
      </w:r>
      <w:r w:rsidR="00DA3841">
        <w:t>are compliant with semi-static TA configuration</w:t>
      </w:r>
      <w:r w:rsidR="002F3FF4">
        <w:t xml:space="preserve"> on CUs</w:t>
      </w:r>
      <w:r>
        <w:t>.</w:t>
      </w:r>
    </w:p>
    <w:p w14:paraId="78206E7E" w14:textId="1F186FC7" w:rsidR="00A74F0F" w:rsidRDefault="00A74F0F" w:rsidP="003F0B44">
      <w:pPr>
        <w:spacing w:after="160" w:line="259" w:lineRule="auto"/>
      </w:pPr>
      <w:r>
        <w:t xml:space="preserve">Option 3 </w:t>
      </w:r>
      <w:r w:rsidR="005F5B29">
        <w:t xml:space="preserve">implies that </w:t>
      </w:r>
      <w:r w:rsidR="002F3FF4">
        <w:t xml:space="preserve">the CU’s </w:t>
      </w:r>
      <w:r w:rsidR="005F5B29">
        <w:t xml:space="preserve">TAs can dynamically grow and shrink based on </w:t>
      </w:r>
      <w:proofErr w:type="spellStart"/>
      <w:r w:rsidR="005F5B29">
        <w:t>mIAB</w:t>
      </w:r>
      <w:proofErr w:type="spellEnd"/>
      <w:r w:rsidR="005F5B29">
        <w:t>-node motion</w:t>
      </w:r>
      <w:r>
        <w:t xml:space="preserve">. </w:t>
      </w:r>
    </w:p>
    <w:p w14:paraId="73DC295B" w14:textId="207F5093" w:rsidR="00F4563A" w:rsidRDefault="00F4563A" w:rsidP="003F0B44">
      <w:pPr>
        <w:spacing w:after="160" w:line="259" w:lineRule="auto"/>
      </w:pPr>
      <w:r>
        <w:t xml:space="preserve">In case the </w:t>
      </w:r>
      <w:proofErr w:type="spellStart"/>
      <w:r>
        <w:t>mIAB</w:t>
      </w:r>
      <w:proofErr w:type="spellEnd"/>
      <w:r>
        <w:t xml:space="preserve">-MT moves, the </w:t>
      </w:r>
      <w:proofErr w:type="spellStart"/>
      <w:r>
        <w:t>mIAB</w:t>
      </w:r>
      <w:proofErr w:type="spellEnd"/>
      <w:r>
        <w:t xml:space="preserve">-DU’s CU must be aware of the </w:t>
      </w:r>
      <w:proofErr w:type="spellStart"/>
      <w:r>
        <w:t>mIAB</w:t>
      </w:r>
      <w:proofErr w:type="spellEnd"/>
      <w:r>
        <w:t>-MT’s target CU</w:t>
      </w:r>
      <w:r w:rsidR="00872955">
        <w:t>’s TAC</w:t>
      </w:r>
      <w:r w:rsidR="00982EBC">
        <w:t>(s)</w:t>
      </w:r>
      <w:r>
        <w:t xml:space="preserve"> so that it can </w:t>
      </w:r>
      <w:r w:rsidR="00B37690">
        <w:t xml:space="preserve">determine if one of the Options 1, 2 or 3 </w:t>
      </w:r>
      <w:r w:rsidR="003F354C">
        <w:t>needs to</w:t>
      </w:r>
      <w:r w:rsidR="00B37690">
        <w:t xml:space="preserve"> be applied. </w:t>
      </w:r>
      <w:r>
        <w:t xml:space="preserve">The </w:t>
      </w:r>
      <w:proofErr w:type="spellStart"/>
      <w:r>
        <w:t>mIAB</w:t>
      </w:r>
      <w:proofErr w:type="spellEnd"/>
      <w:r>
        <w:t xml:space="preserve">-DU’s CU can derive </w:t>
      </w:r>
      <w:r w:rsidR="00637427">
        <w:t xml:space="preserve">the </w:t>
      </w:r>
      <w:proofErr w:type="spellStart"/>
      <w:r w:rsidR="00637427">
        <w:t>mIAB</w:t>
      </w:r>
      <w:proofErr w:type="spellEnd"/>
      <w:r w:rsidR="00637427">
        <w:t>-MT’s target CU’s TAC</w:t>
      </w:r>
      <w:r>
        <w:t xml:space="preserve"> from the NRT</w:t>
      </w:r>
      <w:r w:rsidR="00F4352F">
        <w:t xml:space="preserve"> in case</w:t>
      </w:r>
      <w:r>
        <w:t xml:space="preserve"> </w:t>
      </w:r>
      <w:proofErr w:type="spellStart"/>
      <w:r>
        <w:t>Xn</w:t>
      </w:r>
      <w:proofErr w:type="spellEnd"/>
      <w:r>
        <w:t xml:space="preserve"> is supported.</w:t>
      </w:r>
    </w:p>
    <w:p w14:paraId="7A25985A" w14:textId="4F42CFE6" w:rsidR="007527B7" w:rsidRDefault="00637427" w:rsidP="003F0B44">
      <w:pPr>
        <w:spacing w:after="160" w:line="259" w:lineRule="auto"/>
      </w:pPr>
      <w:r>
        <w:t xml:space="preserve">Observation 2c implies that it is the source logical </w:t>
      </w:r>
      <w:proofErr w:type="spellStart"/>
      <w:r>
        <w:t>mIAB</w:t>
      </w:r>
      <w:proofErr w:type="spellEnd"/>
      <w:r>
        <w:t>-DU’s CU</w:t>
      </w:r>
      <w:r w:rsidR="003F354C">
        <w:t>,</w:t>
      </w:r>
      <w:r>
        <w:t xml:space="preserve"> which triggers DU migration. However, RAN3 agreed that DU migration can also be triggered by the </w:t>
      </w:r>
      <w:proofErr w:type="spellStart"/>
      <w:r>
        <w:t>mIAB</w:t>
      </w:r>
      <w:proofErr w:type="spellEnd"/>
      <w:r>
        <w:t xml:space="preserve">-node itself. </w:t>
      </w:r>
      <w:r w:rsidR="001962D6">
        <w:t xml:space="preserve">In this case, </w:t>
      </w:r>
      <w:r w:rsidR="00DD1D88">
        <w:t xml:space="preserve">it is assumed that the </w:t>
      </w:r>
      <w:proofErr w:type="spellStart"/>
      <w:r w:rsidR="00DD1D88">
        <w:t>mIAB</w:t>
      </w:r>
      <w:proofErr w:type="spellEnd"/>
      <w:r w:rsidR="00DD1D88">
        <w:t xml:space="preserve">-node is preconfigured to perform the right </w:t>
      </w:r>
      <w:r w:rsidR="001056E5">
        <w:t>decision</w:t>
      </w:r>
      <w:r w:rsidR="00DD1D88">
        <w:t xml:space="preserve"> based on implementation.</w:t>
      </w:r>
    </w:p>
    <w:p w14:paraId="7B998257" w14:textId="57ED0549" w:rsidR="00DE2CFC" w:rsidRDefault="00DE2CFC" w:rsidP="00DE2CFC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lastRenderedPageBreak/>
        <w:t>Proposal</w:t>
      </w:r>
      <w:r>
        <w:rPr>
          <w:b/>
          <w:bCs/>
        </w:rPr>
        <w:t xml:space="preserve"> 2a</w:t>
      </w:r>
      <w:r w:rsidRPr="005F5B29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-DU-cell to broadcast a TAC owned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-MT’s CU.</w:t>
      </w:r>
    </w:p>
    <w:p w14:paraId="608680E3" w14:textId="2C3F32FD" w:rsidR="005F6802" w:rsidRDefault="005F5B29" w:rsidP="005F6802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t>Proposal</w:t>
      </w:r>
      <w:r>
        <w:rPr>
          <w:b/>
          <w:bCs/>
        </w:rPr>
        <w:t xml:space="preserve"> </w:t>
      </w:r>
      <w:r w:rsidR="00B133ED">
        <w:rPr>
          <w:b/>
          <w:bCs/>
        </w:rPr>
        <w:t>2</w:t>
      </w:r>
      <w:r w:rsidR="00DE2CFC">
        <w:rPr>
          <w:b/>
          <w:bCs/>
        </w:rPr>
        <w:t>b</w:t>
      </w:r>
      <w:r w:rsidRPr="005F5B29">
        <w:rPr>
          <w:b/>
          <w:bCs/>
        </w:rPr>
        <w:t xml:space="preserve">: </w:t>
      </w:r>
      <w:r w:rsidR="005F6802">
        <w:rPr>
          <w:b/>
          <w:bCs/>
        </w:rPr>
        <w:t xml:space="preserve">When the </w:t>
      </w:r>
      <w:proofErr w:type="spellStart"/>
      <w:r w:rsidR="005F6802">
        <w:rPr>
          <w:b/>
          <w:bCs/>
        </w:rPr>
        <w:t>mIAB</w:t>
      </w:r>
      <w:proofErr w:type="spellEnd"/>
      <w:r w:rsidR="005F6802">
        <w:rPr>
          <w:b/>
          <w:bCs/>
        </w:rPr>
        <w:t xml:space="preserve">-MT moves to a new CU </w:t>
      </w:r>
      <w:r w:rsidR="00F4352F">
        <w:rPr>
          <w:b/>
          <w:bCs/>
        </w:rPr>
        <w:t>that</w:t>
      </w:r>
      <w:r w:rsidR="005F6802">
        <w:rPr>
          <w:b/>
          <w:bCs/>
        </w:rPr>
        <w:t xml:space="preserve"> does not own the TAC broadcast</w:t>
      </w:r>
      <w:r w:rsidR="00F4352F">
        <w:rPr>
          <w:b/>
          <w:bCs/>
        </w:rPr>
        <w:t>ed</w:t>
      </w:r>
      <w:r w:rsidR="005F6802">
        <w:rPr>
          <w:b/>
          <w:bCs/>
        </w:rPr>
        <w:t xml:space="preserve"> by the </w:t>
      </w:r>
      <w:proofErr w:type="spellStart"/>
      <w:r w:rsidR="005F6802">
        <w:rPr>
          <w:b/>
          <w:bCs/>
        </w:rPr>
        <w:t>mIAB</w:t>
      </w:r>
      <w:proofErr w:type="spellEnd"/>
      <w:r w:rsidR="005F6802">
        <w:rPr>
          <w:b/>
          <w:bCs/>
        </w:rPr>
        <w:t xml:space="preserve">-DU, any of the following options </w:t>
      </w:r>
      <w:r w:rsidR="00F4352F">
        <w:rPr>
          <w:b/>
          <w:bCs/>
        </w:rPr>
        <w:t>is</w:t>
      </w:r>
      <w:r w:rsidR="005F6802">
        <w:rPr>
          <w:b/>
          <w:bCs/>
        </w:rPr>
        <w:t xml:space="preserve"> applied:</w:t>
      </w:r>
    </w:p>
    <w:p w14:paraId="230B7755" w14:textId="36C3F34F" w:rsidR="005F6802" w:rsidRDefault="005F6802" w:rsidP="005F6802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t xml:space="preserve">Option 1: </w:t>
      </w:r>
      <w:r w:rsidR="00F4352F">
        <w:rPr>
          <w:b/>
          <w:bCs/>
        </w:rPr>
        <w:t xml:space="preserve">The </w:t>
      </w:r>
      <w:proofErr w:type="spellStart"/>
      <w:r w:rsidR="00F4352F">
        <w:rPr>
          <w:b/>
          <w:bCs/>
        </w:rPr>
        <w:t>mIAB</w:t>
      </w:r>
      <w:proofErr w:type="spellEnd"/>
      <w:r w:rsidR="00F4352F">
        <w:rPr>
          <w:b/>
          <w:bCs/>
        </w:rPr>
        <w:t xml:space="preserve">-DU broadcasts another TAC, which its CU shares with the </w:t>
      </w:r>
      <w:proofErr w:type="spellStart"/>
      <w:r w:rsidR="00F4352F">
        <w:rPr>
          <w:b/>
          <w:bCs/>
        </w:rPr>
        <w:t>mIAB</w:t>
      </w:r>
      <w:proofErr w:type="spellEnd"/>
      <w:r w:rsidR="00F4352F">
        <w:rPr>
          <w:b/>
          <w:bCs/>
        </w:rPr>
        <w:t>-MT’s new CU.</w:t>
      </w:r>
    </w:p>
    <w:p w14:paraId="09EDBCD1" w14:textId="08464BCF" w:rsidR="005F6802" w:rsidRDefault="005F6802" w:rsidP="005F6802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t xml:space="preserve">Option 2: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 is migrated to a CU, which shares a TAC with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-MT’s new CU.</w:t>
      </w:r>
    </w:p>
    <w:p w14:paraId="0071559A" w14:textId="1B0766F6" w:rsidR="005F6802" w:rsidRDefault="005F6802" w:rsidP="005F6802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t xml:space="preserve">Option 3: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-DU’s CU </w:t>
      </w:r>
      <w:proofErr w:type="spellStart"/>
      <w:r>
        <w:rPr>
          <w:b/>
          <w:bCs/>
        </w:rPr>
        <w:t>asssumes</w:t>
      </w:r>
      <w:proofErr w:type="spellEnd"/>
      <w:r>
        <w:rPr>
          <w:b/>
          <w:bCs/>
        </w:rPr>
        <w:t xml:space="preserve"> ownership of a TAC that is also owned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-MT’s CU, and it updates all AMFs and </w:t>
      </w:r>
      <w:proofErr w:type="spellStart"/>
      <w:r>
        <w:rPr>
          <w:b/>
          <w:bCs/>
        </w:rPr>
        <w:t>neighbor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about this new TAC ownership, accordingly. </w:t>
      </w:r>
    </w:p>
    <w:p w14:paraId="710DBB0D" w14:textId="3CBCD42A" w:rsidR="005F5B29" w:rsidRDefault="00F4352F" w:rsidP="003F0B44">
      <w:pPr>
        <w:spacing w:after="160" w:line="259" w:lineRule="auto"/>
      </w:pPr>
      <w:r>
        <w:t>For Option</w:t>
      </w:r>
      <w:r w:rsidR="002F3FF4">
        <w:t>s</w:t>
      </w:r>
      <w:r>
        <w:t xml:space="preserve"> 1 and 2, the </w:t>
      </w:r>
      <w:proofErr w:type="spellStart"/>
      <w:r>
        <w:t>mIAB</w:t>
      </w:r>
      <w:proofErr w:type="spellEnd"/>
      <w:r>
        <w:t xml:space="preserve">-DU’s CU must be able to configure the </w:t>
      </w:r>
      <w:proofErr w:type="spellStart"/>
      <w:r>
        <w:t>mIAB</w:t>
      </w:r>
      <w:proofErr w:type="spellEnd"/>
      <w:r>
        <w:t xml:space="preserve">-DU with a new TAC. This follows along the same lines as the configuration of the </w:t>
      </w:r>
      <w:proofErr w:type="spellStart"/>
      <w:r>
        <w:t>mIAB</w:t>
      </w:r>
      <w:proofErr w:type="spellEnd"/>
      <w:r>
        <w:t>-DU’s NCGI discussed under Issue 2.</w:t>
      </w:r>
    </w:p>
    <w:p w14:paraId="1000ACA2" w14:textId="7855BD7D" w:rsidR="00F4352F" w:rsidRDefault="00F4352F" w:rsidP="003F0B44">
      <w:pPr>
        <w:spacing w:after="160" w:line="259" w:lineRule="auto"/>
      </w:pPr>
      <w:r w:rsidRPr="005F5B29">
        <w:rPr>
          <w:b/>
          <w:bCs/>
        </w:rPr>
        <w:t>Proposal</w:t>
      </w:r>
      <w:r>
        <w:rPr>
          <w:b/>
          <w:bCs/>
        </w:rPr>
        <w:t xml:space="preserve"> 2</w:t>
      </w:r>
      <w:r w:rsidR="00DE2CFC">
        <w:rPr>
          <w:b/>
          <w:bCs/>
        </w:rPr>
        <w:t>c</w:t>
      </w:r>
      <w:r w:rsidRPr="005F5B29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-DU’s CU can reconfigure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-DU-cell’s TAC.</w:t>
      </w:r>
    </w:p>
    <w:p w14:paraId="5F9A034E" w14:textId="1927666A" w:rsidR="00F4352F" w:rsidRDefault="00F4352F" w:rsidP="003F0B44">
      <w:pPr>
        <w:spacing w:after="160" w:line="259" w:lineRule="auto"/>
      </w:pPr>
    </w:p>
    <w:p w14:paraId="6F5AF0D4" w14:textId="2436D268" w:rsidR="003358EA" w:rsidRDefault="003358EA" w:rsidP="003358EA">
      <w:pPr>
        <w:pStyle w:val="Heading2"/>
      </w:pPr>
      <w:r w:rsidRPr="00F67BB8">
        <w:rPr>
          <w:highlight w:val="yellow"/>
        </w:rPr>
        <w:t xml:space="preserve">Issue </w:t>
      </w:r>
      <w:r>
        <w:rPr>
          <w:highlight w:val="yellow"/>
        </w:rPr>
        <w:t>3</w:t>
      </w:r>
      <w:r w:rsidRPr="00F67BB8">
        <w:rPr>
          <w:highlight w:val="yellow"/>
        </w:rPr>
        <w:t>:</w:t>
      </w:r>
      <w:r>
        <w:t xml:space="preserve"> </w:t>
      </w:r>
      <w:r w:rsidR="009136CD">
        <w:t xml:space="preserve">Configuration sharing between logical </w:t>
      </w:r>
      <w:proofErr w:type="spellStart"/>
      <w:r w:rsidR="009136CD">
        <w:t>mIAB</w:t>
      </w:r>
      <w:proofErr w:type="spellEnd"/>
      <w:r w:rsidR="009136CD">
        <w:t>-DUs</w:t>
      </w:r>
      <w:r>
        <w:t xml:space="preserve"> </w:t>
      </w:r>
    </w:p>
    <w:p w14:paraId="0ED5EE67" w14:textId="77777777" w:rsidR="003358EA" w:rsidRPr="002C028A" w:rsidRDefault="003358EA" w:rsidP="003358EA">
      <w:r>
        <w:t>This issue refers to the RAN3 agreement: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9487"/>
      </w:tblGrid>
      <w:tr w:rsidR="003358EA" w14:paraId="58F6433E" w14:textId="77777777" w:rsidTr="00EC35C6">
        <w:tc>
          <w:tcPr>
            <w:tcW w:w="9631" w:type="dxa"/>
          </w:tcPr>
          <w:p w14:paraId="4027A2C9" w14:textId="77777777" w:rsidR="003358EA" w:rsidRDefault="003358EA" w:rsidP="00EC35C6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As the baseline, F1 establishment and configuration of the new logical DU follows legacy procedures. </w:t>
            </w:r>
          </w:p>
          <w:p w14:paraId="4B9CC9CB" w14:textId="77777777" w:rsidR="003358EA" w:rsidRPr="002C028A" w:rsidRDefault="003358EA" w:rsidP="00EC35C6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discuss whether and which information can be shared between two logical DUs in case of IAB-DU migration.</w:t>
            </w:r>
          </w:p>
        </w:tc>
      </w:tr>
    </w:tbl>
    <w:p w14:paraId="7A7E7AD6" w14:textId="77777777" w:rsidR="003358EA" w:rsidRDefault="003358EA" w:rsidP="003358EA">
      <w:pPr>
        <w:widowControl w:val="0"/>
        <w:spacing w:after="120"/>
        <w:ind w:left="144" w:hanging="144"/>
        <w:rPr>
          <w:rFonts w:eastAsia="MS Mincho"/>
          <w:b/>
          <w:bCs/>
          <w:szCs w:val="24"/>
          <w:u w:val="single"/>
          <w:lang w:eastAsia="en-GB"/>
        </w:rPr>
      </w:pPr>
    </w:p>
    <w:p w14:paraId="04B5B077" w14:textId="5F134E78" w:rsidR="005E18E0" w:rsidRDefault="005E18E0" w:rsidP="005E18E0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During DU migration, all UEs connected to the source logical </w:t>
      </w:r>
      <w:proofErr w:type="spellStart"/>
      <w:r>
        <w:rPr>
          <w:rFonts w:ascii="Times New Roman" w:hAnsi="Times New Roman"/>
          <w:b w:val="0"/>
        </w:rPr>
        <w:t>mIAB</w:t>
      </w:r>
      <w:proofErr w:type="spellEnd"/>
      <w:r>
        <w:rPr>
          <w:rFonts w:ascii="Times New Roman" w:hAnsi="Times New Roman"/>
          <w:b w:val="0"/>
        </w:rPr>
        <w:t xml:space="preserve">-DU are handed over to the target logical </w:t>
      </w:r>
      <w:proofErr w:type="spellStart"/>
      <w:r>
        <w:rPr>
          <w:rFonts w:ascii="Times New Roman" w:hAnsi="Times New Roman"/>
          <w:b w:val="0"/>
        </w:rPr>
        <w:t>mIAB</w:t>
      </w:r>
      <w:proofErr w:type="spellEnd"/>
      <w:r>
        <w:rPr>
          <w:rFonts w:ascii="Times New Roman" w:hAnsi="Times New Roman"/>
          <w:b w:val="0"/>
        </w:rPr>
        <w:t xml:space="preserve">-DU. There is no need for the target logical </w:t>
      </w:r>
      <w:proofErr w:type="spellStart"/>
      <w:r>
        <w:rPr>
          <w:rFonts w:ascii="Times New Roman" w:hAnsi="Times New Roman"/>
          <w:b w:val="0"/>
        </w:rPr>
        <w:t>mIAB</w:t>
      </w:r>
      <w:proofErr w:type="spellEnd"/>
      <w:r>
        <w:rPr>
          <w:rFonts w:ascii="Times New Roman" w:hAnsi="Times New Roman"/>
          <w:b w:val="0"/>
        </w:rPr>
        <w:t xml:space="preserve">-DU perform admission control for these UEs since they were already admitted by the source logical </w:t>
      </w:r>
      <w:proofErr w:type="spellStart"/>
      <w:r>
        <w:rPr>
          <w:rFonts w:ascii="Times New Roman" w:hAnsi="Times New Roman"/>
          <w:b w:val="0"/>
        </w:rPr>
        <w:t>mIAB</w:t>
      </w:r>
      <w:proofErr w:type="spellEnd"/>
      <w:r>
        <w:rPr>
          <w:rFonts w:ascii="Times New Roman" w:hAnsi="Times New Roman"/>
          <w:b w:val="0"/>
        </w:rPr>
        <w:t xml:space="preserve">-DU. During the DU migration, UEs from other </w:t>
      </w:r>
      <w:proofErr w:type="spellStart"/>
      <w:r>
        <w:rPr>
          <w:rFonts w:ascii="Times New Roman" w:hAnsi="Times New Roman"/>
          <w:b w:val="0"/>
        </w:rPr>
        <w:t>gNB</w:t>
      </w:r>
      <w:proofErr w:type="spellEnd"/>
      <w:r>
        <w:rPr>
          <w:rFonts w:ascii="Times New Roman" w:hAnsi="Times New Roman"/>
          <w:b w:val="0"/>
        </w:rPr>
        <w:t xml:space="preserve">-DUs may also be handed over to the target logical </w:t>
      </w:r>
      <w:proofErr w:type="spellStart"/>
      <w:r>
        <w:rPr>
          <w:rFonts w:ascii="Times New Roman" w:hAnsi="Times New Roman"/>
          <w:b w:val="0"/>
        </w:rPr>
        <w:t>mIAB</w:t>
      </w:r>
      <w:proofErr w:type="spellEnd"/>
      <w:r>
        <w:rPr>
          <w:rFonts w:ascii="Times New Roman" w:hAnsi="Times New Roman"/>
          <w:b w:val="0"/>
        </w:rPr>
        <w:t xml:space="preserve">-DU. The target logical </w:t>
      </w:r>
      <w:proofErr w:type="spellStart"/>
      <w:r>
        <w:rPr>
          <w:rFonts w:ascii="Times New Roman" w:hAnsi="Times New Roman"/>
          <w:b w:val="0"/>
        </w:rPr>
        <w:t>mIAB</w:t>
      </w:r>
      <w:proofErr w:type="spellEnd"/>
      <w:r>
        <w:rPr>
          <w:rFonts w:ascii="Times New Roman" w:hAnsi="Times New Roman"/>
          <w:b w:val="0"/>
        </w:rPr>
        <w:t>-DU should still perform admission control for these latter UEs.</w:t>
      </w:r>
    </w:p>
    <w:p w14:paraId="02B644FD" w14:textId="107DECA6" w:rsidR="005E18E0" w:rsidRDefault="005E18E0" w:rsidP="005E18E0">
      <w:pPr>
        <w:pStyle w:val="Doc-text2"/>
        <w:ind w:left="0" w:firstLine="0"/>
        <w:rPr>
          <w:rFonts w:ascii="Times New Roman" w:hAnsi="Times New Roman"/>
        </w:rPr>
      </w:pPr>
      <w:r w:rsidRPr="005E18E0">
        <w:rPr>
          <w:rFonts w:ascii="Times New Roman" w:hAnsi="Times New Roman"/>
        </w:rPr>
        <w:t>To differ</w:t>
      </w:r>
      <w:r>
        <w:rPr>
          <w:rFonts w:ascii="Times New Roman" w:hAnsi="Times New Roman"/>
        </w:rPr>
        <w:t xml:space="preserve">entiate between UEs that were connected to the source logical </w:t>
      </w:r>
      <w:proofErr w:type="spellStart"/>
      <w:r>
        <w:rPr>
          <w:rFonts w:ascii="Times New Roman" w:hAnsi="Times New Roman"/>
        </w:rPr>
        <w:t>mIAB</w:t>
      </w:r>
      <w:proofErr w:type="spellEnd"/>
      <w:r>
        <w:rPr>
          <w:rFonts w:ascii="Times New Roman" w:hAnsi="Times New Roman"/>
        </w:rPr>
        <w:t xml:space="preserve">-DU vs. another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-DU, the source logical </w:t>
      </w:r>
      <w:proofErr w:type="spellStart"/>
      <w:r>
        <w:rPr>
          <w:rFonts w:ascii="Times New Roman" w:hAnsi="Times New Roman"/>
        </w:rPr>
        <w:t>mIAB</w:t>
      </w:r>
      <w:proofErr w:type="spellEnd"/>
      <w:r>
        <w:rPr>
          <w:rFonts w:ascii="Times New Roman" w:hAnsi="Times New Roman"/>
        </w:rPr>
        <w:t xml:space="preserve">-DU’s CU should include an indicator in the Handover Request to the target logical </w:t>
      </w:r>
      <w:proofErr w:type="spellStart"/>
      <w:r>
        <w:rPr>
          <w:rFonts w:ascii="Times New Roman" w:hAnsi="Times New Roman"/>
        </w:rPr>
        <w:t>mIAB</w:t>
      </w:r>
      <w:proofErr w:type="spellEnd"/>
      <w:r>
        <w:rPr>
          <w:rFonts w:ascii="Times New Roman" w:hAnsi="Times New Roman"/>
        </w:rPr>
        <w:t xml:space="preserve">-DU’s CU, which is then passed to the target logical </w:t>
      </w:r>
      <w:proofErr w:type="spellStart"/>
      <w:r>
        <w:rPr>
          <w:rFonts w:ascii="Times New Roman" w:hAnsi="Times New Roman"/>
        </w:rPr>
        <w:t>mIAB</w:t>
      </w:r>
      <w:proofErr w:type="spellEnd"/>
      <w:r>
        <w:rPr>
          <w:rFonts w:ascii="Times New Roman" w:hAnsi="Times New Roman"/>
        </w:rPr>
        <w:t xml:space="preserve">-DU. This indicator can include a UE ID, which the IAB-node can map to the corresponding UE at the source logical </w:t>
      </w:r>
      <w:proofErr w:type="spellStart"/>
      <w:r>
        <w:rPr>
          <w:rFonts w:ascii="Times New Roman" w:hAnsi="Times New Roman"/>
        </w:rPr>
        <w:t>mIAB</w:t>
      </w:r>
      <w:proofErr w:type="spellEnd"/>
      <w:r>
        <w:rPr>
          <w:rFonts w:ascii="Times New Roman" w:hAnsi="Times New Roman"/>
        </w:rPr>
        <w:t xml:space="preserve">-DU (e.g., the source logical </w:t>
      </w:r>
      <w:proofErr w:type="spellStart"/>
      <w:r>
        <w:rPr>
          <w:rFonts w:ascii="Times New Roman" w:hAnsi="Times New Roman"/>
        </w:rPr>
        <w:t>mIAB</w:t>
      </w:r>
      <w:proofErr w:type="spellEnd"/>
      <w:r>
        <w:rPr>
          <w:rFonts w:ascii="Times New Roman" w:hAnsi="Times New Roman"/>
        </w:rPr>
        <w:t>-DU’s UE ID).</w:t>
      </w:r>
    </w:p>
    <w:p w14:paraId="0848B62B" w14:textId="68813E4D" w:rsidR="005E18E0" w:rsidRDefault="005E18E0" w:rsidP="005E18E0">
      <w:pPr>
        <w:pStyle w:val="Doc-text2"/>
        <w:ind w:left="0" w:firstLine="0"/>
        <w:rPr>
          <w:rFonts w:ascii="Times New Roman" w:hAnsi="Times New Roman"/>
        </w:rPr>
      </w:pPr>
    </w:p>
    <w:p w14:paraId="413FF008" w14:textId="714CE7A6" w:rsidR="005E18E0" w:rsidRPr="009B1D41" w:rsidRDefault="005E18E0" w:rsidP="005E18E0">
      <w:pPr>
        <w:pStyle w:val="Doc-text2"/>
        <w:ind w:left="0" w:firstLine="0"/>
        <w:rPr>
          <w:rFonts w:ascii="Times New Roman" w:hAnsi="Times New Roman"/>
          <w:b/>
          <w:bCs/>
        </w:rPr>
      </w:pPr>
      <w:r w:rsidRPr="009B1D41">
        <w:rPr>
          <w:rFonts w:ascii="Times New Roman" w:hAnsi="Times New Roman"/>
          <w:b/>
          <w:bCs/>
        </w:rPr>
        <w:t xml:space="preserve">Proposal 3: The source logical </w:t>
      </w:r>
      <w:proofErr w:type="spellStart"/>
      <w:r w:rsidRPr="009B1D41">
        <w:rPr>
          <w:rFonts w:ascii="Times New Roman" w:hAnsi="Times New Roman"/>
          <w:b/>
          <w:bCs/>
        </w:rPr>
        <w:t>mIAB</w:t>
      </w:r>
      <w:proofErr w:type="spellEnd"/>
      <w:r w:rsidRPr="009B1D41">
        <w:rPr>
          <w:rFonts w:ascii="Times New Roman" w:hAnsi="Times New Roman"/>
          <w:b/>
          <w:bCs/>
        </w:rPr>
        <w:t xml:space="preserve">-DU’s CU to include an indicator or UE ID in the </w:t>
      </w:r>
      <w:r w:rsidR="009B1D41" w:rsidRPr="009B1D41">
        <w:rPr>
          <w:rFonts w:ascii="Times New Roman" w:hAnsi="Times New Roman"/>
          <w:b/>
          <w:bCs/>
        </w:rPr>
        <w:t>Handover Request</w:t>
      </w:r>
      <w:r w:rsidRPr="009B1D41">
        <w:rPr>
          <w:rFonts w:ascii="Times New Roman" w:hAnsi="Times New Roman"/>
          <w:b/>
          <w:bCs/>
        </w:rPr>
        <w:t xml:space="preserve"> to the target logical </w:t>
      </w:r>
      <w:proofErr w:type="spellStart"/>
      <w:r w:rsidRPr="009B1D41">
        <w:rPr>
          <w:rFonts w:ascii="Times New Roman" w:hAnsi="Times New Roman"/>
          <w:b/>
          <w:bCs/>
        </w:rPr>
        <w:t>mIAB</w:t>
      </w:r>
      <w:proofErr w:type="spellEnd"/>
      <w:r w:rsidRPr="009B1D41">
        <w:rPr>
          <w:rFonts w:ascii="Times New Roman" w:hAnsi="Times New Roman"/>
          <w:b/>
          <w:bCs/>
        </w:rPr>
        <w:t>-DU’s CU</w:t>
      </w:r>
      <w:r w:rsidR="009B1D41" w:rsidRPr="009B1D41">
        <w:rPr>
          <w:rFonts w:ascii="Times New Roman" w:hAnsi="Times New Roman"/>
          <w:b/>
          <w:bCs/>
        </w:rPr>
        <w:t xml:space="preserve">, which is passed to the target logical </w:t>
      </w:r>
      <w:proofErr w:type="spellStart"/>
      <w:r w:rsidR="009B1D41" w:rsidRPr="009B1D41">
        <w:rPr>
          <w:rFonts w:ascii="Times New Roman" w:hAnsi="Times New Roman"/>
          <w:b/>
          <w:bCs/>
        </w:rPr>
        <w:t>mIAB</w:t>
      </w:r>
      <w:proofErr w:type="spellEnd"/>
      <w:r w:rsidR="009B1D41" w:rsidRPr="009B1D41">
        <w:rPr>
          <w:rFonts w:ascii="Times New Roman" w:hAnsi="Times New Roman"/>
          <w:b/>
          <w:bCs/>
        </w:rPr>
        <w:t xml:space="preserve">-DU, so that the target logical </w:t>
      </w:r>
      <w:proofErr w:type="spellStart"/>
      <w:r w:rsidR="009B1D41" w:rsidRPr="009B1D41">
        <w:rPr>
          <w:rFonts w:ascii="Times New Roman" w:hAnsi="Times New Roman"/>
          <w:b/>
          <w:bCs/>
        </w:rPr>
        <w:t>mIAB</w:t>
      </w:r>
      <w:proofErr w:type="spellEnd"/>
      <w:r w:rsidR="009B1D41" w:rsidRPr="009B1D41">
        <w:rPr>
          <w:rFonts w:ascii="Times New Roman" w:hAnsi="Times New Roman"/>
          <w:b/>
          <w:bCs/>
        </w:rPr>
        <w:t xml:space="preserve">-DU can wave admission control for this UE. </w:t>
      </w:r>
    </w:p>
    <w:p w14:paraId="31171F2A" w14:textId="77777777" w:rsidR="005E18E0" w:rsidRPr="005E18E0" w:rsidRDefault="005E18E0" w:rsidP="005E18E0">
      <w:pPr>
        <w:pStyle w:val="Doc-text2"/>
      </w:pPr>
    </w:p>
    <w:p w14:paraId="5C0CC986" w14:textId="18C05234" w:rsidR="00F67BB8" w:rsidRDefault="00F67BB8" w:rsidP="00F67BB8">
      <w:pPr>
        <w:pStyle w:val="Heading2"/>
      </w:pPr>
      <w:r w:rsidRPr="00F67BB8">
        <w:rPr>
          <w:highlight w:val="yellow"/>
        </w:rPr>
        <w:t xml:space="preserve">Issue </w:t>
      </w:r>
      <w:r w:rsidR="003358EA">
        <w:rPr>
          <w:highlight w:val="yellow"/>
        </w:rPr>
        <w:t>4</w:t>
      </w:r>
      <w:r w:rsidRPr="00F67BB8">
        <w:rPr>
          <w:highlight w:val="yellow"/>
        </w:rPr>
        <w:t>:</w:t>
      </w:r>
      <w:r>
        <w:t xml:space="preserve"> </w:t>
      </w:r>
      <w:r w:rsidR="005B7BAA">
        <w:t>Whether the</w:t>
      </w:r>
      <w:r>
        <w:t xml:space="preserve"> UE’s source CU </w:t>
      </w:r>
      <w:r w:rsidR="005B7BAA">
        <w:t>knows</w:t>
      </w:r>
      <w:r>
        <w:t xml:space="preserve"> that the target cell belongs to a mobile IAB-node</w:t>
      </w:r>
    </w:p>
    <w:p w14:paraId="6A32F6CC" w14:textId="20380B6B" w:rsidR="00DB6CA9" w:rsidRPr="00DB6CA9" w:rsidRDefault="00DB6CA9" w:rsidP="00DB6CA9">
      <w:r>
        <w:t xml:space="preserve">This </w:t>
      </w:r>
      <w:r w:rsidR="002C028A">
        <w:t>issue</w:t>
      </w:r>
      <w:r>
        <w:t xml:space="preserve"> refers to RAN3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B6CA9" w14:paraId="68D15079" w14:textId="77777777" w:rsidTr="00DB6CA9">
        <w:tc>
          <w:tcPr>
            <w:tcW w:w="9631" w:type="dxa"/>
          </w:tcPr>
          <w:p w14:paraId="41091816" w14:textId="77777777" w:rsidR="00DB6CA9" w:rsidRDefault="00DB6CA9" w:rsidP="00DB6CA9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Source donor CU of mobile IAB-MT informs the target donor CU of mobile IAB-MT that the migrating node is a mobile IAB-node, via explicit indication in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XnAP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HO Request message.</w:t>
            </w:r>
          </w:p>
          <w:p w14:paraId="518B51E3" w14:textId="26CCE14E" w:rsidR="00DB6CA9" w:rsidRPr="00DB6CA9" w:rsidRDefault="00DB6CA9" w:rsidP="00DB6CA9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B6CA9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</w:rPr>
              <w:t xml:space="preserve">RAN3 to discuss whether source donor should know whether the target cell belongs to a </w:t>
            </w:r>
            <w:proofErr w:type="spellStart"/>
            <w:r w:rsidRPr="00DB6CA9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</w:rPr>
              <w:t>mIAB</w:t>
            </w:r>
            <w:proofErr w:type="spellEnd"/>
            <w:r w:rsidRPr="00DB6CA9">
              <w:rPr>
                <w:rFonts w:ascii="Calibri" w:hAnsi="Calibri" w:cs="Calibri"/>
                <w:b/>
                <w:color w:val="008000"/>
                <w:sz w:val="18"/>
                <w:szCs w:val="18"/>
                <w:highlight w:val="yellow"/>
              </w:rPr>
              <w:t>-Node.</w:t>
            </w:r>
          </w:p>
        </w:tc>
      </w:tr>
    </w:tbl>
    <w:p w14:paraId="723CA2A6" w14:textId="77777777" w:rsidR="00DB6CA9" w:rsidRDefault="00DB6CA9" w:rsidP="00F67BB8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  <w:u w:val="single"/>
        </w:rPr>
      </w:pPr>
    </w:p>
    <w:p w14:paraId="3F4CC443" w14:textId="08D966A6" w:rsidR="003F01B7" w:rsidRDefault="003F01B7" w:rsidP="00F67BB8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issue applies to UEs, which are connected to the stationary network or a mobile IAB-node, and which are considered for handover, e.g., based on a measurement report including potential target cell candidates.</w:t>
      </w:r>
    </w:p>
    <w:p w14:paraId="084CD64F" w14:textId="6EBA1A73" w:rsidR="00F67BB8" w:rsidRDefault="00F67BB8" w:rsidP="00F67BB8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In case the UE’s source CU knows that </w:t>
      </w:r>
      <w:r w:rsidR="00A07269">
        <w:rPr>
          <w:rFonts w:ascii="Times New Roman" w:hAnsi="Times New Roman"/>
          <w:b w:val="0"/>
        </w:rPr>
        <w:t>a</w:t>
      </w:r>
      <w:r>
        <w:rPr>
          <w:rFonts w:ascii="Times New Roman" w:hAnsi="Times New Roman"/>
          <w:b w:val="0"/>
        </w:rPr>
        <w:t xml:space="preserve"> target cell candidate</w:t>
      </w:r>
      <w:r w:rsidR="00A07269">
        <w:rPr>
          <w:rFonts w:ascii="Times New Roman" w:hAnsi="Times New Roman"/>
          <w:b w:val="0"/>
        </w:rPr>
        <w:t xml:space="preserve">, which the UE might have included in a measurement report, </w:t>
      </w:r>
      <w:r>
        <w:rPr>
          <w:rFonts w:ascii="Times New Roman" w:hAnsi="Times New Roman"/>
          <w:b w:val="0"/>
        </w:rPr>
        <w:t>belongs to a mobile IAB-node</w:t>
      </w:r>
      <w:r w:rsidR="00A07269">
        <w:rPr>
          <w:rFonts w:ascii="Times New Roman" w:hAnsi="Times New Roman"/>
          <w:b w:val="0"/>
        </w:rPr>
        <w:t xml:space="preserve"> (opposed to the stationary network)</w:t>
      </w:r>
      <w:r>
        <w:rPr>
          <w:rFonts w:ascii="Times New Roman" w:hAnsi="Times New Roman"/>
          <w:b w:val="0"/>
        </w:rPr>
        <w:t xml:space="preserve">, it can apply more intelligent handover decisions. </w:t>
      </w:r>
    </w:p>
    <w:p w14:paraId="06C64D46" w14:textId="77777777" w:rsidR="00F67BB8" w:rsidRPr="0025370E" w:rsidRDefault="00F67BB8" w:rsidP="00F67BB8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</w:rPr>
      </w:pPr>
      <w:r w:rsidRPr="0025370E">
        <w:rPr>
          <w:rFonts w:ascii="Times New Roman" w:hAnsi="Times New Roman"/>
          <w:b w:val="0"/>
        </w:rPr>
        <w:t>Examples:</w:t>
      </w:r>
    </w:p>
    <w:p w14:paraId="008F2F3B" w14:textId="1FF240A2" w:rsidR="00F67BB8" w:rsidRPr="000B3277" w:rsidRDefault="00F67BB8" w:rsidP="00F67BB8">
      <w:pPr>
        <w:pStyle w:val="Agreement"/>
        <w:numPr>
          <w:ilvl w:val="0"/>
          <w:numId w:val="9"/>
        </w:numPr>
        <w:spacing w:before="0" w:after="120"/>
        <w:rPr>
          <w:rFonts w:ascii="Times New Roman" w:hAnsi="Times New Roman"/>
          <w:b w:val="0"/>
          <w:bCs/>
        </w:rPr>
      </w:pPr>
      <w:r w:rsidRPr="000B3277">
        <w:rPr>
          <w:rFonts w:ascii="Times New Roman" w:hAnsi="Times New Roman"/>
          <w:b w:val="0"/>
          <w:bCs/>
        </w:rPr>
        <w:lastRenderedPageBreak/>
        <w:t xml:space="preserve">In case the UE’s source cell is known to cover a bus stop or train station, the </w:t>
      </w:r>
      <w:r w:rsidR="00A07269">
        <w:rPr>
          <w:rFonts w:ascii="Times New Roman" w:hAnsi="Times New Roman"/>
          <w:b w:val="0"/>
          <w:bCs/>
        </w:rPr>
        <w:t xml:space="preserve">source CU may conclude that the </w:t>
      </w:r>
      <w:r>
        <w:rPr>
          <w:rFonts w:ascii="Times New Roman" w:hAnsi="Times New Roman"/>
          <w:b w:val="0"/>
          <w:bCs/>
        </w:rPr>
        <w:t xml:space="preserve">UE </w:t>
      </w:r>
      <w:r w:rsidR="00A07269">
        <w:rPr>
          <w:rFonts w:ascii="Times New Roman" w:hAnsi="Times New Roman"/>
          <w:b w:val="0"/>
          <w:bCs/>
        </w:rPr>
        <w:t>is</w:t>
      </w:r>
      <w:r>
        <w:rPr>
          <w:rFonts w:ascii="Times New Roman" w:hAnsi="Times New Roman"/>
          <w:b w:val="0"/>
          <w:bCs/>
        </w:rPr>
        <w:t xml:space="preserve"> entering a vehicle holding the target cell</w:t>
      </w:r>
      <w:r w:rsidR="00A07269">
        <w:rPr>
          <w:rFonts w:ascii="Times New Roman" w:hAnsi="Times New Roman"/>
          <w:b w:val="0"/>
          <w:bCs/>
        </w:rPr>
        <w:t>,</w:t>
      </w:r>
      <w:r>
        <w:rPr>
          <w:rFonts w:ascii="Times New Roman" w:hAnsi="Times New Roman"/>
          <w:b w:val="0"/>
          <w:bCs/>
        </w:rPr>
        <w:t xml:space="preserve"> and</w:t>
      </w:r>
      <w:r w:rsidR="00A07269">
        <w:rPr>
          <w:rFonts w:ascii="Times New Roman" w:hAnsi="Times New Roman"/>
          <w:b w:val="0"/>
          <w:bCs/>
        </w:rPr>
        <w:t xml:space="preserve"> for this reason,</w:t>
      </w:r>
      <w:r>
        <w:rPr>
          <w:rFonts w:ascii="Times New Roman" w:hAnsi="Times New Roman"/>
          <w:b w:val="0"/>
          <w:bCs/>
        </w:rPr>
        <w:t xml:space="preserve"> </w:t>
      </w:r>
      <w:r w:rsidR="00A07269">
        <w:rPr>
          <w:rFonts w:ascii="Times New Roman" w:hAnsi="Times New Roman"/>
          <w:b w:val="0"/>
          <w:bCs/>
        </w:rPr>
        <w:t xml:space="preserve">it may perform the </w:t>
      </w:r>
      <w:r>
        <w:rPr>
          <w:rFonts w:ascii="Times New Roman" w:hAnsi="Times New Roman"/>
          <w:b w:val="0"/>
          <w:bCs/>
        </w:rPr>
        <w:t>handover.</w:t>
      </w:r>
    </w:p>
    <w:p w14:paraId="101391C6" w14:textId="0109D9F6" w:rsidR="00F67BB8" w:rsidRDefault="00F67BB8" w:rsidP="00F67BB8">
      <w:pPr>
        <w:pStyle w:val="Agreement"/>
        <w:numPr>
          <w:ilvl w:val="0"/>
          <w:numId w:val="9"/>
        </w:numPr>
        <w:spacing w:before="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In case the UE’s source cell is known to cover an area outside a bus stop or train station area, e.g., an area of a highway, </w:t>
      </w:r>
      <w:r w:rsidR="00A07269">
        <w:rPr>
          <w:rFonts w:ascii="Times New Roman" w:hAnsi="Times New Roman"/>
          <w:b w:val="0"/>
        </w:rPr>
        <w:t xml:space="preserve">the source CU may conclude that </w:t>
      </w:r>
      <w:r>
        <w:rPr>
          <w:rFonts w:ascii="Times New Roman" w:hAnsi="Times New Roman"/>
          <w:b w:val="0"/>
        </w:rPr>
        <w:t>the UE may just happen to move side</w:t>
      </w:r>
      <w:r w:rsidR="00A07269">
        <w:rPr>
          <w:rFonts w:ascii="Times New Roman" w:hAnsi="Times New Roman"/>
          <w:b w:val="0"/>
        </w:rPr>
        <w:t>-</w:t>
      </w:r>
      <w:r>
        <w:rPr>
          <w:rFonts w:ascii="Times New Roman" w:hAnsi="Times New Roman"/>
          <w:b w:val="0"/>
        </w:rPr>
        <w:t>by</w:t>
      </w:r>
      <w:r w:rsidR="00A07269">
        <w:rPr>
          <w:rFonts w:ascii="Times New Roman" w:hAnsi="Times New Roman"/>
          <w:b w:val="0"/>
        </w:rPr>
        <w:t>-</w:t>
      </w:r>
      <w:r>
        <w:rPr>
          <w:rFonts w:ascii="Times New Roman" w:hAnsi="Times New Roman"/>
          <w:b w:val="0"/>
        </w:rPr>
        <w:t xml:space="preserve">side with the vehicle holding the mobile IAB-cell, and </w:t>
      </w:r>
      <w:r w:rsidR="00A07269">
        <w:rPr>
          <w:rFonts w:ascii="Times New Roman" w:hAnsi="Times New Roman"/>
          <w:b w:val="0"/>
        </w:rPr>
        <w:t>for this reason, it may not perform a handover.</w:t>
      </w:r>
    </w:p>
    <w:p w14:paraId="7866D47C" w14:textId="2F9E57A9" w:rsidR="00F67BB8" w:rsidRPr="000B3277" w:rsidRDefault="00F67BB8" w:rsidP="00F67BB8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t xml:space="preserve">Observations </w:t>
      </w:r>
      <w:r w:rsidR="00A24741">
        <w:rPr>
          <w:rFonts w:ascii="Times New Roman" w:hAnsi="Times New Roman"/>
          <w:bCs/>
        </w:rPr>
        <w:t>3</w:t>
      </w:r>
      <w:r w:rsidR="00B133ED">
        <w:rPr>
          <w:rFonts w:ascii="Times New Roman" w:hAnsi="Times New Roman"/>
          <w:bCs/>
        </w:rPr>
        <w:t>a</w:t>
      </w:r>
      <w:r w:rsidRPr="000B3277">
        <w:rPr>
          <w:rFonts w:ascii="Times New Roman" w:hAnsi="Times New Roman"/>
          <w:bCs/>
        </w:rPr>
        <w:t>: The UE’s CU can perform more intelligent handover decisions if it knows that a candidate target cell belongs to a mobile IAB-node</w:t>
      </w:r>
      <w:r w:rsidR="00A07269">
        <w:rPr>
          <w:rFonts w:ascii="Times New Roman" w:hAnsi="Times New Roman"/>
          <w:bCs/>
        </w:rPr>
        <w:t xml:space="preserve"> vs. to the stationary network</w:t>
      </w:r>
      <w:r w:rsidRPr="000B3277">
        <w:rPr>
          <w:rFonts w:ascii="Times New Roman" w:hAnsi="Times New Roman"/>
          <w:bCs/>
        </w:rPr>
        <w:t xml:space="preserve">.   </w:t>
      </w:r>
    </w:p>
    <w:p w14:paraId="1BF29D4C" w14:textId="77777777" w:rsidR="00F67BB8" w:rsidRDefault="00F67BB8" w:rsidP="00F67BB8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</w:rPr>
      </w:pPr>
    </w:p>
    <w:p w14:paraId="45893703" w14:textId="3ADC28F0" w:rsidR="00F67BB8" w:rsidRDefault="00F67BB8" w:rsidP="00F67BB8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UE’s CU may further apply different policies </w:t>
      </w:r>
      <w:r w:rsidR="00A07269">
        <w:rPr>
          <w:rFonts w:ascii="Times New Roman" w:hAnsi="Times New Roman"/>
          <w:b w:val="0"/>
        </w:rPr>
        <w:t>for</w:t>
      </w:r>
      <w:r>
        <w:rPr>
          <w:rFonts w:ascii="Times New Roman" w:hAnsi="Times New Roman"/>
          <w:b w:val="0"/>
        </w:rPr>
        <w:t xml:space="preserve"> </w:t>
      </w:r>
      <w:r w:rsidR="00A07269">
        <w:rPr>
          <w:rFonts w:ascii="Times New Roman" w:hAnsi="Times New Roman"/>
          <w:b w:val="0"/>
        </w:rPr>
        <w:t>the establishment</w:t>
      </w:r>
      <w:r>
        <w:rPr>
          <w:rFonts w:ascii="Times New Roman" w:hAnsi="Times New Roman"/>
          <w:b w:val="0"/>
        </w:rPr>
        <w:t xml:space="preserve"> of dual connectivity for a UE in case it knows that the candidate cell is a mobile IAB-cell </w:t>
      </w:r>
      <w:r w:rsidR="00A07269">
        <w:rPr>
          <w:rFonts w:ascii="Times New Roman" w:hAnsi="Times New Roman"/>
          <w:b w:val="0"/>
        </w:rPr>
        <w:t>vs.</w:t>
      </w:r>
      <w:r>
        <w:rPr>
          <w:rFonts w:ascii="Times New Roman" w:hAnsi="Times New Roman"/>
          <w:b w:val="0"/>
        </w:rPr>
        <w:t xml:space="preserve"> a stationary cell. In ma</w:t>
      </w:r>
      <w:r w:rsidR="005A480E">
        <w:rPr>
          <w:rFonts w:ascii="Times New Roman" w:hAnsi="Times New Roman"/>
          <w:b w:val="0"/>
        </w:rPr>
        <w:t>n</w:t>
      </w:r>
      <w:r>
        <w:rPr>
          <w:rFonts w:ascii="Times New Roman" w:hAnsi="Times New Roman"/>
          <w:b w:val="0"/>
        </w:rPr>
        <w:t xml:space="preserve">y scenarios, supporting DC between stationary CG and mobile IAB-CG may not be desirable. </w:t>
      </w:r>
    </w:p>
    <w:p w14:paraId="3C105617" w14:textId="55325757" w:rsidR="00F67BB8" w:rsidRPr="000B3277" w:rsidRDefault="00F67BB8" w:rsidP="00F67BB8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t xml:space="preserve">Observations </w:t>
      </w:r>
      <w:r w:rsidR="00A24741">
        <w:rPr>
          <w:rFonts w:ascii="Times New Roman" w:hAnsi="Times New Roman"/>
          <w:bCs/>
        </w:rPr>
        <w:t>3</w:t>
      </w:r>
      <w:r w:rsidR="00B133ED">
        <w:rPr>
          <w:rFonts w:ascii="Times New Roman" w:hAnsi="Times New Roman"/>
          <w:bCs/>
        </w:rPr>
        <w:t>b</w:t>
      </w:r>
      <w:r w:rsidRPr="000B3277">
        <w:rPr>
          <w:rFonts w:ascii="Times New Roman" w:hAnsi="Times New Roman"/>
          <w:bCs/>
        </w:rPr>
        <w:t xml:space="preserve">: The UE’s CU can </w:t>
      </w:r>
      <w:r>
        <w:rPr>
          <w:rFonts w:ascii="Times New Roman" w:hAnsi="Times New Roman"/>
          <w:bCs/>
        </w:rPr>
        <w:t>apply differentiated policies for the establishment of dual connectivity</w:t>
      </w:r>
      <w:r w:rsidRPr="000B3277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in case</w:t>
      </w:r>
      <w:r w:rsidRPr="000B3277">
        <w:rPr>
          <w:rFonts w:ascii="Times New Roman" w:hAnsi="Times New Roman"/>
          <w:bCs/>
        </w:rPr>
        <w:t xml:space="preserve"> it knows that </w:t>
      </w:r>
      <w:r>
        <w:rPr>
          <w:rFonts w:ascii="Times New Roman" w:hAnsi="Times New Roman"/>
          <w:bCs/>
        </w:rPr>
        <w:t>the</w:t>
      </w:r>
      <w:r w:rsidRPr="000B3277">
        <w:rPr>
          <w:rFonts w:ascii="Times New Roman" w:hAnsi="Times New Roman"/>
          <w:bCs/>
        </w:rPr>
        <w:t xml:space="preserve"> candidate cell belongs to a mobile IAB-node</w:t>
      </w:r>
      <w:r>
        <w:rPr>
          <w:rFonts w:ascii="Times New Roman" w:hAnsi="Times New Roman"/>
          <w:bCs/>
        </w:rPr>
        <w:t xml:space="preserve"> vs. a stationary node</w:t>
      </w:r>
      <w:r w:rsidRPr="000B3277">
        <w:rPr>
          <w:rFonts w:ascii="Times New Roman" w:hAnsi="Times New Roman"/>
          <w:bCs/>
        </w:rPr>
        <w:t xml:space="preserve">.   </w:t>
      </w:r>
    </w:p>
    <w:p w14:paraId="59C38EB0" w14:textId="77777777" w:rsidR="00F67BB8" w:rsidRDefault="00F67BB8" w:rsidP="00F67BB8">
      <w:pPr>
        <w:spacing w:after="120"/>
      </w:pPr>
    </w:p>
    <w:p w14:paraId="3E45EA14" w14:textId="77777777" w:rsidR="00F67BB8" w:rsidRDefault="00F67BB8" w:rsidP="00F67BB8">
      <w:pPr>
        <w:spacing w:after="120"/>
      </w:pPr>
      <w:r>
        <w:t xml:space="preserve">The CU should know whether a cell belongs to a mobile IAB-node before it decides to perform handover preparation or SN addition. Further, since the “mobile IAB” status is the cell’s permanent attribute, it should be included in the </w:t>
      </w:r>
      <w:proofErr w:type="spellStart"/>
      <w:r>
        <w:t>Xn</w:t>
      </w:r>
      <w:proofErr w:type="spellEnd"/>
      <w:r>
        <w:t xml:space="preserve"> SETUP procedures and/or </w:t>
      </w:r>
      <w:proofErr w:type="spellStart"/>
      <w:r>
        <w:t>Xn</w:t>
      </w:r>
      <w:proofErr w:type="spellEnd"/>
      <w:r>
        <w:t xml:space="preserve"> RAN NODE CONFIGURATION UPDATE procedures.</w:t>
      </w:r>
    </w:p>
    <w:p w14:paraId="1B31C993" w14:textId="424954FA" w:rsidR="00F67BB8" w:rsidRPr="000B3277" w:rsidRDefault="00F67BB8" w:rsidP="00F67BB8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t xml:space="preserve">Observations </w:t>
      </w:r>
      <w:r w:rsidR="00A24741">
        <w:rPr>
          <w:rFonts w:ascii="Times New Roman" w:hAnsi="Times New Roman"/>
          <w:bCs/>
        </w:rPr>
        <w:t>3</w:t>
      </w:r>
      <w:r w:rsidR="00B133ED">
        <w:rPr>
          <w:rFonts w:ascii="Times New Roman" w:hAnsi="Times New Roman"/>
          <w:bCs/>
        </w:rPr>
        <w:t>c</w:t>
      </w:r>
      <w:r w:rsidRPr="000B3277">
        <w:rPr>
          <w:rFonts w:ascii="Times New Roman" w:hAnsi="Times New Roman"/>
          <w:bCs/>
        </w:rPr>
        <w:t xml:space="preserve">: The UE’s CU </w:t>
      </w:r>
      <w:r>
        <w:rPr>
          <w:rFonts w:ascii="Times New Roman" w:hAnsi="Times New Roman"/>
          <w:bCs/>
        </w:rPr>
        <w:t>needs to know whether the target cell candidate belongs to a mobile IAB-node before making decisions on handover of SN addition</w:t>
      </w:r>
      <w:r w:rsidRPr="000B3277">
        <w:rPr>
          <w:rFonts w:ascii="Times New Roman" w:hAnsi="Times New Roman"/>
          <w:bCs/>
        </w:rPr>
        <w:t xml:space="preserve">.   </w:t>
      </w:r>
    </w:p>
    <w:p w14:paraId="600ECABE" w14:textId="77777777" w:rsidR="00F67BB8" w:rsidRDefault="00F67BB8" w:rsidP="00F67BB8">
      <w:pPr>
        <w:spacing w:after="120"/>
      </w:pPr>
    </w:p>
    <w:p w14:paraId="3284B9A9" w14:textId="6C8D5841" w:rsidR="00F67BB8" w:rsidRPr="000B3277" w:rsidRDefault="00F67BB8" w:rsidP="00F67BB8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Proposal </w:t>
      </w:r>
      <w:r w:rsidR="000D67EF">
        <w:rPr>
          <w:rFonts w:ascii="Times New Roman" w:hAnsi="Times New Roman"/>
          <w:bCs/>
        </w:rPr>
        <w:t>4</w:t>
      </w:r>
      <w:r w:rsidRPr="000B3277">
        <w:rPr>
          <w:rFonts w:ascii="Times New Roman" w:hAnsi="Times New Roman"/>
          <w:bCs/>
        </w:rPr>
        <w:t xml:space="preserve">: The </w:t>
      </w:r>
      <w:r>
        <w:rPr>
          <w:rFonts w:ascii="Times New Roman" w:hAnsi="Times New Roman"/>
          <w:bCs/>
        </w:rPr>
        <w:t>“mobile</w:t>
      </w:r>
      <w:r w:rsidR="00DF5CFB">
        <w:rPr>
          <w:rFonts w:ascii="Times New Roman" w:hAnsi="Times New Roman"/>
          <w:bCs/>
        </w:rPr>
        <w:t>-</w:t>
      </w:r>
      <w:r>
        <w:rPr>
          <w:rFonts w:ascii="Times New Roman" w:hAnsi="Times New Roman"/>
          <w:bCs/>
        </w:rPr>
        <w:t xml:space="preserve">IAB” indication to be included into the </w:t>
      </w:r>
      <w:proofErr w:type="spellStart"/>
      <w:r w:rsidRPr="00A61F80">
        <w:rPr>
          <w:rFonts w:ascii="Times New Roman" w:hAnsi="Times New Roman"/>
          <w:bCs/>
        </w:rPr>
        <w:t>Xn</w:t>
      </w:r>
      <w:proofErr w:type="spellEnd"/>
      <w:r w:rsidRPr="00A61F80">
        <w:rPr>
          <w:rFonts w:ascii="Times New Roman" w:hAnsi="Times New Roman"/>
          <w:bCs/>
        </w:rPr>
        <w:t xml:space="preserve"> SETUP procedures and</w:t>
      </w:r>
      <w:r>
        <w:rPr>
          <w:rFonts w:ascii="Times New Roman" w:hAnsi="Times New Roman"/>
          <w:bCs/>
        </w:rPr>
        <w:t xml:space="preserve"> </w:t>
      </w:r>
      <w:proofErr w:type="spellStart"/>
      <w:r w:rsidRPr="00A61F80">
        <w:rPr>
          <w:rFonts w:ascii="Times New Roman" w:hAnsi="Times New Roman"/>
          <w:bCs/>
        </w:rPr>
        <w:t>Xn</w:t>
      </w:r>
      <w:proofErr w:type="spellEnd"/>
      <w:r w:rsidRPr="00A61F80">
        <w:rPr>
          <w:rFonts w:ascii="Times New Roman" w:hAnsi="Times New Roman"/>
          <w:bCs/>
        </w:rPr>
        <w:t xml:space="preserve"> RAN NODE CONFIGURATION UPDATE procedures</w:t>
      </w:r>
      <w:r>
        <w:rPr>
          <w:rFonts w:ascii="Times New Roman" w:hAnsi="Times New Roman"/>
          <w:bCs/>
        </w:rPr>
        <w:t xml:space="preserve"> so that the UE’s CU can apply differentiated HO and DC policies when the candidate target cell belongs to a mobile IAB-node</w:t>
      </w:r>
      <w:r w:rsidRPr="000B3277">
        <w:rPr>
          <w:rFonts w:ascii="Times New Roman" w:hAnsi="Times New Roman"/>
          <w:bCs/>
        </w:rPr>
        <w:t xml:space="preserve">.   </w:t>
      </w:r>
    </w:p>
    <w:p w14:paraId="0A3CA49F" w14:textId="1934BE73" w:rsidR="003F553D" w:rsidRDefault="003F553D" w:rsidP="001F4187">
      <w:pPr>
        <w:rPr>
          <w:b/>
          <w:bCs/>
        </w:rPr>
      </w:pPr>
    </w:p>
    <w:p w14:paraId="6C61539C" w14:textId="77777777" w:rsidR="00BB414D" w:rsidRDefault="00BB414D" w:rsidP="00F67BB8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4C244D3C" w:rsidR="0096408F" w:rsidRDefault="0096408F" w:rsidP="0096408F">
      <w:pPr>
        <w:spacing w:after="0"/>
      </w:pPr>
      <w:r>
        <w:t xml:space="preserve">This contribution discussed </w:t>
      </w:r>
      <w:r w:rsidRPr="0096408F">
        <w:t>procedure</w:t>
      </w:r>
      <w:r>
        <w:t>s</w:t>
      </w:r>
      <w:r w:rsidRPr="0096408F">
        <w:t xml:space="preserve"> </w:t>
      </w:r>
      <w:r w:rsidRPr="006177A0">
        <w:t xml:space="preserve">to </w:t>
      </w:r>
      <w:r w:rsidR="006177A0" w:rsidRPr="006177A0">
        <w:t xml:space="preserve">for </w:t>
      </w:r>
      <w:r w:rsidR="004A2F60">
        <w:t>mobile enhancements of mobile IAB</w:t>
      </w:r>
      <w:r>
        <w:t xml:space="preserve">. The following </w:t>
      </w:r>
      <w:r w:rsidR="00D5646F">
        <w:t xml:space="preserve">observations and </w:t>
      </w:r>
      <w:r>
        <w:t>proposals have been made:</w:t>
      </w:r>
    </w:p>
    <w:p w14:paraId="2D1C95F8" w14:textId="3CB210DA" w:rsidR="00804321" w:rsidRDefault="00804321" w:rsidP="0096408F">
      <w:pPr>
        <w:spacing w:after="0"/>
      </w:pPr>
    </w:p>
    <w:p w14:paraId="58E6B823" w14:textId="0B98D095" w:rsidR="006E0E56" w:rsidRPr="006E0E56" w:rsidRDefault="006E0E56" w:rsidP="006E0E56">
      <w:pPr>
        <w:spacing w:after="160" w:line="259" w:lineRule="auto"/>
        <w:rPr>
          <w:u w:val="single"/>
        </w:rPr>
      </w:pPr>
      <w:r>
        <w:rPr>
          <w:u w:val="single"/>
        </w:rPr>
        <w:t>Observations</w:t>
      </w:r>
      <w:r w:rsidRPr="006E0E56">
        <w:rPr>
          <w:u w:val="single"/>
        </w:rPr>
        <w:t>:</w:t>
      </w:r>
    </w:p>
    <w:p w14:paraId="0C243662" w14:textId="736182F1" w:rsidR="00C048ED" w:rsidRDefault="00C048ED" w:rsidP="00C048ED">
      <w:pPr>
        <w:spacing w:after="160" w:line="259" w:lineRule="auto"/>
        <w:rPr>
          <w:b/>
          <w:bCs/>
        </w:rPr>
      </w:pPr>
      <w:r w:rsidRPr="00F139F4">
        <w:rPr>
          <w:b/>
          <w:bCs/>
        </w:rPr>
        <w:t>Observation 1</w:t>
      </w:r>
      <w:r>
        <w:rPr>
          <w:b/>
          <w:bCs/>
        </w:rPr>
        <w:t>a</w:t>
      </w:r>
      <w:r w:rsidRPr="00F139F4">
        <w:rPr>
          <w:b/>
          <w:bCs/>
        </w:rPr>
        <w:t xml:space="preserve">: NCGI pre-configuration may be beneficial </w:t>
      </w:r>
      <w:r>
        <w:rPr>
          <w:b/>
          <w:bCs/>
        </w:rPr>
        <w:t>in scenarios where the</w:t>
      </w:r>
      <w:r w:rsidRPr="00F139F4">
        <w:rPr>
          <w:b/>
          <w:bCs/>
        </w:rPr>
        <w:t xml:space="preserve"> IAB-node travel</w:t>
      </w:r>
      <w:r>
        <w:rPr>
          <w:b/>
          <w:bCs/>
        </w:rPr>
        <w:t>s</w:t>
      </w:r>
      <w:r w:rsidRPr="00F139F4">
        <w:rPr>
          <w:b/>
          <w:bCs/>
        </w:rPr>
        <w:t xml:space="preserve"> on </w:t>
      </w:r>
      <w:r>
        <w:rPr>
          <w:b/>
          <w:bCs/>
        </w:rPr>
        <w:t xml:space="preserve">a </w:t>
      </w:r>
      <w:r w:rsidRPr="00F139F4">
        <w:rPr>
          <w:b/>
          <w:bCs/>
        </w:rPr>
        <w:t xml:space="preserve">deterministic </w:t>
      </w:r>
      <w:r>
        <w:rPr>
          <w:b/>
          <w:bCs/>
        </w:rPr>
        <w:t>route</w:t>
      </w:r>
      <w:r w:rsidRPr="00F139F4">
        <w:rPr>
          <w:b/>
          <w:bCs/>
        </w:rPr>
        <w:t xml:space="preserve"> </w:t>
      </w:r>
      <w:r>
        <w:rPr>
          <w:b/>
          <w:bCs/>
        </w:rPr>
        <w:t>and</w:t>
      </w:r>
      <w:r w:rsidRPr="00F139F4">
        <w:rPr>
          <w:b/>
          <w:bCs/>
        </w:rPr>
        <w:t xml:space="preserve"> use</w:t>
      </w:r>
      <w:r>
        <w:rPr>
          <w:b/>
          <w:bCs/>
        </w:rPr>
        <w:t>s only</w:t>
      </w:r>
      <w:r w:rsidRPr="00F139F4">
        <w:rPr>
          <w:b/>
          <w:bCs/>
        </w:rPr>
        <w:t xml:space="preserve"> a selected number of donors. </w:t>
      </w:r>
      <w:r>
        <w:rPr>
          <w:b/>
          <w:bCs/>
        </w:rPr>
        <w:t>It does not scale well for other scenarios.</w:t>
      </w:r>
    </w:p>
    <w:p w14:paraId="72076290" w14:textId="77777777" w:rsidR="00C048ED" w:rsidRDefault="00C048ED" w:rsidP="00C048ED">
      <w:pPr>
        <w:spacing w:after="160" w:line="259" w:lineRule="auto"/>
        <w:rPr>
          <w:b/>
          <w:bCs/>
        </w:rPr>
      </w:pPr>
      <w:r w:rsidRPr="00F139F4">
        <w:rPr>
          <w:b/>
          <w:bCs/>
        </w:rPr>
        <w:t xml:space="preserve">Observation </w:t>
      </w:r>
      <w:r>
        <w:rPr>
          <w:b/>
          <w:bCs/>
        </w:rPr>
        <w:t>1b</w:t>
      </w:r>
      <w:r w:rsidRPr="00F139F4">
        <w:rPr>
          <w:b/>
          <w:bCs/>
        </w:rPr>
        <w:t xml:space="preserve">: </w:t>
      </w:r>
      <w:r>
        <w:rPr>
          <w:b/>
          <w:bCs/>
        </w:rPr>
        <w:t xml:space="preserve">OAM-based NCGI </w:t>
      </w:r>
      <w:r w:rsidRPr="00F139F4">
        <w:rPr>
          <w:b/>
          <w:bCs/>
        </w:rPr>
        <w:t xml:space="preserve">configuration </w:t>
      </w:r>
      <w:r>
        <w:rPr>
          <w:b/>
          <w:bCs/>
        </w:rPr>
        <w:t xml:space="preserve">can be considered for initial matchup between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-node and donor (same as pre-configuration) but not for dynamic configuration since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-node and donor may use different OAMs.</w:t>
      </w:r>
    </w:p>
    <w:p w14:paraId="4F069E42" w14:textId="77777777" w:rsidR="00C048ED" w:rsidRDefault="00C048ED" w:rsidP="00C048ED">
      <w:pPr>
        <w:spacing w:after="160" w:line="259" w:lineRule="auto"/>
        <w:rPr>
          <w:b/>
          <w:bCs/>
        </w:rPr>
      </w:pPr>
      <w:r w:rsidRPr="00F139F4">
        <w:rPr>
          <w:b/>
          <w:bCs/>
        </w:rPr>
        <w:t xml:space="preserve">Observation </w:t>
      </w:r>
      <w:r>
        <w:rPr>
          <w:b/>
          <w:bCs/>
        </w:rPr>
        <w:t>1c</w:t>
      </w:r>
      <w:r w:rsidRPr="00F139F4">
        <w:rPr>
          <w:b/>
          <w:bCs/>
        </w:rPr>
        <w:t xml:space="preserve">: </w:t>
      </w:r>
      <w:r>
        <w:rPr>
          <w:b/>
          <w:bCs/>
        </w:rPr>
        <w:t xml:space="preserve">F1-based NCGI configuration has good scalability for scenarios, where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-node moves on an indeterministic route and/or performs DU migrations across multiple donors.</w:t>
      </w:r>
    </w:p>
    <w:p w14:paraId="5CC2FA45" w14:textId="77777777" w:rsidR="00A24741" w:rsidRDefault="00A24741" w:rsidP="00A24741">
      <w:pPr>
        <w:spacing w:after="160" w:line="259" w:lineRule="auto"/>
        <w:rPr>
          <w:b/>
          <w:bCs/>
        </w:rPr>
      </w:pPr>
      <w:r w:rsidRPr="00600C54">
        <w:rPr>
          <w:b/>
          <w:bCs/>
        </w:rPr>
        <w:t>Observation</w:t>
      </w:r>
      <w:r>
        <w:rPr>
          <w:b/>
          <w:bCs/>
        </w:rPr>
        <w:t xml:space="preserve"> 2a</w:t>
      </w:r>
      <w:r w:rsidRPr="00600C54">
        <w:rPr>
          <w:b/>
          <w:bCs/>
        </w:rPr>
        <w:t xml:space="preserve">: </w:t>
      </w:r>
      <w:r>
        <w:rPr>
          <w:b/>
          <w:bCs/>
        </w:rPr>
        <w:t xml:space="preserve">Since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-MT’s CU represents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-node’s physical location,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-DU-cell should broadcast a TAC owned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-MT’s CU (Note: it does not have to be the same as the TAC received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-MT).</w:t>
      </w:r>
    </w:p>
    <w:p w14:paraId="3F0808D3" w14:textId="77777777" w:rsidR="00A24741" w:rsidRDefault="00A24741" w:rsidP="00A24741">
      <w:pPr>
        <w:spacing w:after="160" w:line="259" w:lineRule="auto"/>
        <w:rPr>
          <w:b/>
          <w:bCs/>
        </w:rPr>
      </w:pPr>
      <w:r>
        <w:rPr>
          <w:b/>
          <w:bCs/>
        </w:rPr>
        <w:t xml:space="preserve">Observation 2b: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-DU-cell TAC needs to be supported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-DU’s CU.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-DU’s CU and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-MT’s CU must therefore own the same TAC, i.e., belong to the same tracking area.</w:t>
      </w:r>
    </w:p>
    <w:p w14:paraId="324765BD" w14:textId="77777777" w:rsidR="00A24741" w:rsidRDefault="00A24741" w:rsidP="00A24741">
      <w:pPr>
        <w:spacing w:after="160" w:line="259" w:lineRule="auto"/>
        <w:rPr>
          <w:b/>
          <w:bCs/>
        </w:rPr>
      </w:pPr>
      <w:r>
        <w:rPr>
          <w:b/>
          <w:bCs/>
        </w:rPr>
        <w:t xml:space="preserve">Observation 2c: When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-MT moves to a new CU, which does not own the TAC broadcasted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-DU,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-DU’s CU has the following options:</w:t>
      </w:r>
    </w:p>
    <w:p w14:paraId="7816CA64" w14:textId="77777777" w:rsidR="00A24741" w:rsidRDefault="00A24741" w:rsidP="00A24741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t xml:space="preserve">Option 1: In case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-MT’s new CU shares another TAC with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-DU’s CU,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-DU’s CU reconfigures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-DU to broadcast this shared TAC.</w:t>
      </w:r>
    </w:p>
    <w:p w14:paraId="1D5F4A27" w14:textId="77777777" w:rsidR="00A24741" w:rsidRDefault="00A24741" w:rsidP="00A24741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lastRenderedPageBreak/>
        <w:t xml:space="preserve">Option 2: It migrates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 to a CU, which shares a TAC with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-MT’s new CU.</w:t>
      </w:r>
    </w:p>
    <w:p w14:paraId="6BAC7C54" w14:textId="77777777" w:rsidR="00A24741" w:rsidRDefault="00A24741" w:rsidP="00A24741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t xml:space="preserve">Option 3: It assumes ownership of a TAC that is also owned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-MT’s CU, and it updates all AMFs and </w:t>
      </w:r>
      <w:proofErr w:type="spellStart"/>
      <w:r>
        <w:rPr>
          <w:b/>
          <w:bCs/>
        </w:rPr>
        <w:t>neighbor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about this new TAC ownership, accordingly. </w:t>
      </w:r>
    </w:p>
    <w:p w14:paraId="14D60256" w14:textId="35F391EB" w:rsidR="00A24741" w:rsidRPr="000B3277" w:rsidRDefault="00A24741" w:rsidP="00A24741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t xml:space="preserve">Observations </w:t>
      </w:r>
      <w:r>
        <w:rPr>
          <w:rFonts w:ascii="Times New Roman" w:hAnsi="Times New Roman"/>
          <w:bCs/>
        </w:rPr>
        <w:t>3a</w:t>
      </w:r>
      <w:r w:rsidRPr="000B3277">
        <w:rPr>
          <w:rFonts w:ascii="Times New Roman" w:hAnsi="Times New Roman"/>
          <w:bCs/>
        </w:rPr>
        <w:t>: The UE’s CU can perform more intelligent handover decisions if it knows that a candidate target cell belongs to a mobile IAB-node</w:t>
      </w:r>
      <w:r>
        <w:rPr>
          <w:rFonts w:ascii="Times New Roman" w:hAnsi="Times New Roman"/>
          <w:bCs/>
        </w:rPr>
        <w:t xml:space="preserve"> vs. to the stationary network</w:t>
      </w:r>
      <w:r w:rsidRPr="000B3277">
        <w:rPr>
          <w:rFonts w:ascii="Times New Roman" w:hAnsi="Times New Roman"/>
          <w:bCs/>
        </w:rPr>
        <w:t xml:space="preserve">.   </w:t>
      </w:r>
    </w:p>
    <w:p w14:paraId="1B52FC56" w14:textId="79EDDFB6" w:rsidR="00A24741" w:rsidRPr="000B3277" w:rsidRDefault="00A24741" w:rsidP="00A24741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t xml:space="preserve">Observations </w:t>
      </w:r>
      <w:r>
        <w:rPr>
          <w:rFonts w:ascii="Times New Roman" w:hAnsi="Times New Roman"/>
          <w:bCs/>
        </w:rPr>
        <w:t>3b</w:t>
      </w:r>
      <w:r w:rsidRPr="000B3277">
        <w:rPr>
          <w:rFonts w:ascii="Times New Roman" w:hAnsi="Times New Roman"/>
          <w:bCs/>
        </w:rPr>
        <w:t xml:space="preserve">: The UE’s CU can </w:t>
      </w:r>
      <w:r>
        <w:rPr>
          <w:rFonts w:ascii="Times New Roman" w:hAnsi="Times New Roman"/>
          <w:bCs/>
        </w:rPr>
        <w:t>apply differentiated policies for the establishment of dual connectivity</w:t>
      </w:r>
      <w:r w:rsidRPr="000B3277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in case</w:t>
      </w:r>
      <w:r w:rsidRPr="000B3277">
        <w:rPr>
          <w:rFonts w:ascii="Times New Roman" w:hAnsi="Times New Roman"/>
          <w:bCs/>
        </w:rPr>
        <w:t xml:space="preserve"> it knows that </w:t>
      </w:r>
      <w:r>
        <w:rPr>
          <w:rFonts w:ascii="Times New Roman" w:hAnsi="Times New Roman"/>
          <w:bCs/>
        </w:rPr>
        <w:t>the</w:t>
      </w:r>
      <w:r w:rsidRPr="000B3277">
        <w:rPr>
          <w:rFonts w:ascii="Times New Roman" w:hAnsi="Times New Roman"/>
          <w:bCs/>
        </w:rPr>
        <w:t xml:space="preserve"> candidate cell belongs to a mobile IAB-node</w:t>
      </w:r>
      <w:r>
        <w:rPr>
          <w:rFonts w:ascii="Times New Roman" w:hAnsi="Times New Roman"/>
          <w:bCs/>
        </w:rPr>
        <w:t xml:space="preserve"> vs. a stationary node</w:t>
      </w:r>
      <w:r w:rsidRPr="000B3277">
        <w:rPr>
          <w:rFonts w:ascii="Times New Roman" w:hAnsi="Times New Roman"/>
          <w:bCs/>
        </w:rPr>
        <w:t xml:space="preserve">.   </w:t>
      </w:r>
    </w:p>
    <w:p w14:paraId="7B5C04FB" w14:textId="2B66590E" w:rsidR="00A24741" w:rsidRPr="000B3277" w:rsidRDefault="00A24741" w:rsidP="00A24741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 w:rsidRPr="000B3277">
        <w:rPr>
          <w:rFonts w:ascii="Times New Roman" w:hAnsi="Times New Roman"/>
          <w:bCs/>
        </w:rPr>
        <w:t xml:space="preserve">Observations </w:t>
      </w:r>
      <w:r>
        <w:rPr>
          <w:rFonts w:ascii="Times New Roman" w:hAnsi="Times New Roman"/>
          <w:bCs/>
        </w:rPr>
        <w:t>3c</w:t>
      </w:r>
      <w:r w:rsidRPr="000B3277">
        <w:rPr>
          <w:rFonts w:ascii="Times New Roman" w:hAnsi="Times New Roman"/>
          <w:bCs/>
        </w:rPr>
        <w:t xml:space="preserve">: The UE’s CU </w:t>
      </w:r>
      <w:r>
        <w:rPr>
          <w:rFonts w:ascii="Times New Roman" w:hAnsi="Times New Roman"/>
          <w:bCs/>
        </w:rPr>
        <w:t>needs to know whether the target cell candidate belongs to a mobile IAB-node before making decisions on handover of SN addition</w:t>
      </w:r>
      <w:r w:rsidRPr="000B3277">
        <w:rPr>
          <w:rFonts w:ascii="Times New Roman" w:hAnsi="Times New Roman"/>
          <w:bCs/>
        </w:rPr>
        <w:t xml:space="preserve">.   </w:t>
      </w:r>
    </w:p>
    <w:p w14:paraId="5A2FB98E" w14:textId="77777777" w:rsidR="00A24741" w:rsidRDefault="00A24741" w:rsidP="00C048ED">
      <w:pPr>
        <w:spacing w:after="160" w:line="259" w:lineRule="auto"/>
        <w:rPr>
          <w:b/>
          <w:bCs/>
        </w:rPr>
      </w:pPr>
    </w:p>
    <w:p w14:paraId="187690C8" w14:textId="627539AC" w:rsidR="00A24741" w:rsidRPr="006E0E56" w:rsidRDefault="006E0E56" w:rsidP="00C048ED">
      <w:pPr>
        <w:spacing w:after="160" w:line="259" w:lineRule="auto"/>
        <w:rPr>
          <w:u w:val="single"/>
        </w:rPr>
      </w:pPr>
      <w:r w:rsidRPr="006E0E56">
        <w:rPr>
          <w:u w:val="single"/>
        </w:rPr>
        <w:t>Proposals:</w:t>
      </w:r>
    </w:p>
    <w:p w14:paraId="0D5EFB51" w14:textId="0AEDC27C" w:rsidR="00C048ED" w:rsidRPr="0055198B" w:rsidRDefault="00C048ED" w:rsidP="00C048ED">
      <w:pPr>
        <w:spacing w:after="160" w:line="259" w:lineRule="auto"/>
        <w:rPr>
          <w:b/>
          <w:bCs/>
        </w:rPr>
      </w:pPr>
      <w:r w:rsidRPr="0055198B">
        <w:rPr>
          <w:b/>
          <w:bCs/>
        </w:rPr>
        <w:t>Proposal 1</w:t>
      </w:r>
      <w:r>
        <w:rPr>
          <w:b/>
          <w:bCs/>
        </w:rPr>
        <w:t>a</w:t>
      </w:r>
      <w:r w:rsidRPr="0055198B">
        <w:rPr>
          <w:b/>
          <w:bCs/>
        </w:rPr>
        <w:t xml:space="preserve">: For DU migration, </w:t>
      </w:r>
      <w:r>
        <w:rPr>
          <w:b/>
          <w:bCs/>
        </w:rPr>
        <w:t xml:space="preserve">the </w:t>
      </w:r>
      <w:r w:rsidRPr="0055198B">
        <w:rPr>
          <w:b/>
          <w:bCs/>
        </w:rPr>
        <w:t xml:space="preserve">NCGI of the target logical </w:t>
      </w:r>
      <w:proofErr w:type="spellStart"/>
      <w:r w:rsidRPr="0055198B">
        <w:rPr>
          <w:b/>
          <w:bCs/>
        </w:rPr>
        <w:t>mIAB</w:t>
      </w:r>
      <w:proofErr w:type="spellEnd"/>
      <w:r w:rsidRPr="0055198B">
        <w:rPr>
          <w:b/>
          <w:bCs/>
        </w:rPr>
        <w:t>-DU</w:t>
      </w:r>
      <w:r>
        <w:rPr>
          <w:b/>
          <w:bCs/>
        </w:rPr>
        <w:t xml:space="preserve">-cell can </w:t>
      </w:r>
      <w:r w:rsidRPr="0055198B">
        <w:rPr>
          <w:b/>
          <w:bCs/>
        </w:rPr>
        <w:t xml:space="preserve">be provided via pre-configuration </w:t>
      </w:r>
      <w:r>
        <w:rPr>
          <w:b/>
          <w:bCs/>
        </w:rPr>
        <w:t>and</w:t>
      </w:r>
      <w:r w:rsidRPr="0055198B">
        <w:rPr>
          <w:b/>
          <w:bCs/>
        </w:rPr>
        <w:t xml:space="preserve"> via F1-based configuration.</w:t>
      </w:r>
    </w:p>
    <w:p w14:paraId="2DCD6F03" w14:textId="77777777" w:rsidR="00C048ED" w:rsidRPr="008F2D01" w:rsidRDefault="00C048ED" w:rsidP="00C048ED">
      <w:pPr>
        <w:spacing w:after="160" w:line="259" w:lineRule="auto"/>
        <w:rPr>
          <w:b/>
          <w:bCs/>
        </w:rPr>
      </w:pPr>
      <w:r w:rsidRPr="008F2D01">
        <w:rPr>
          <w:b/>
          <w:bCs/>
        </w:rPr>
        <w:t xml:space="preserve">Proposal </w:t>
      </w:r>
      <w:r>
        <w:rPr>
          <w:b/>
          <w:bCs/>
        </w:rPr>
        <w:t>1b</w:t>
      </w:r>
      <w:r w:rsidRPr="008F2D01">
        <w:rPr>
          <w:b/>
          <w:bCs/>
        </w:rPr>
        <w:t xml:space="preserve">: </w:t>
      </w:r>
      <w:r>
        <w:rPr>
          <w:b/>
          <w:bCs/>
        </w:rPr>
        <w:t>For mobile IAB-node, t</w:t>
      </w:r>
      <w:r w:rsidRPr="008F2D01">
        <w:rPr>
          <w:b/>
          <w:bCs/>
        </w:rPr>
        <w:t xml:space="preserve">he </w:t>
      </w:r>
      <w:proofErr w:type="spellStart"/>
      <w:r w:rsidRPr="008F2D01">
        <w:rPr>
          <w:b/>
          <w:bCs/>
        </w:rPr>
        <w:t>mIAB</w:t>
      </w:r>
      <w:proofErr w:type="spellEnd"/>
      <w:r w:rsidRPr="008F2D01">
        <w:rPr>
          <w:b/>
          <w:bCs/>
        </w:rPr>
        <w:t xml:space="preserve">-DU-cell </w:t>
      </w:r>
      <w:r>
        <w:rPr>
          <w:b/>
          <w:bCs/>
        </w:rPr>
        <w:t xml:space="preserve">can include a preconfigured NCGI for a served cell </w:t>
      </w:r>
      <w:r w:rsidRPr="008F2D01">
        <w:rPr>
          <w:b/>
          <w:bCs/>
        </w:rPr>
        <w:t>in the F1 Setup Request</w:t>
      </w:r>
      <w:r>
        <w:rPr>
          <w:b/>
          <w:bCs/>
        </w:rPr>
        <w:t>, and the CU may provide a new NCGI for this cell in the F1 Setup Response.</w:t>
      </w:r>
    </w:p>
    <w:p w14:paraId="1742D3AB" w14:textId="330B54B4" w:rsidR="000C285F" w:rsidRDefault="000C285F" w:rsidP="0096408F">
      <w:pPr>
        <w:spacing w:after="0"/>
      </w:pPr>
    </w:p>
    <w:p w14:paraId="2A3065C7" w14:textId="77777777" w:rsidR="00DE2CFC" w:rsidRDefault="00DE2CFC" w:rsidP="00DE2CFC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t>Proposal</w:t>
      </w:r>
      <w:r>
        <w:rPr>
          <w:b/>
          <w:bCs/>
        </w:rPr>
        <w:t xml:space="preserve"> 2a</w:t>
      </w:r>
      <w:r w:rsidRPr="005F5B29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-DU-cell to broadcast a TAC owned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-MT’s CU.</w:t>
      </w:r>
    </w:p>
    <w:p w14:paraId="1DBD44A2" w14:textId="77777777" w:rsidR="00DE2CFC" w:rsidRDefault="00DE2CFC" w:rsidP="00DE2CFC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t>Proposal</w:t>
      </w:r>
      <w:r>
        <w:rPr>
          <w:b/>
          <w:bCs/>
        </w:rPr>
        <w:t xml:space="preserve"> 2b</w:t>
      </w:r>
      <w:r w:rsidRPr="005F5B29">
        <w:rPr>
          <w:b/>
          <w:bCs/>
        </w:rPr>
        <w:t xml:space="preserve">: </w:t>
      </w:r>
      <w:r>
        <w:rPr>
          <w:b/>
          <w:bCs/>
        </w:rPr>
        <w:t xml:space="preserve">When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-MT moves to a new CU that does not own the TAC broadcasted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-DU, any of the following options is applied:</w:t>
      </w:r>
    </w:p>
    <w:p w14:paraId="00FEBD51" w14:textId="77777777" w:rsidR="00DE2CFC" w:rsidRDefault="00DE2CFC" w:rsidP="00DE2CFC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t xml:space="preserve">Option 1: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 broadcasts another TAC, which its CU shares with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-MT’s new CU.</w:t>
      </w:r>
    </w:p>
    <w:p w14:paraId="47B18452" w14:textId="77777777" w:rsidR="00DE2CFC" w:rsidRDefault="00DE2CFC" w:rsidP="00DE2CFC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t xml:space="preserve">Option 2: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 is migrated to a CU, which shares a TAC with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-MT’s new CU.</w:t>
      </w:r>
    </w:p>
    <w:p w14:paraId="002E2AF7" w14:textId="77777777" w:rsidR="00DE2CFC" w:rsidRDefault="00DE2CFC" w:rsidP="00DE2CFC">
      <w:pPr>
        <w:spacing w:after="160" w:line="259" w:lineRule="auto"/>
        <w:ind w:left="432"/>
        <w:rPr>
          <w:b/>
          <w:bCs/>
        </w:rPr>
      </w:pPr>
      <w:r>
        <w:rPr>
          <w:b/>
          <w:bCs/>
        </w:rPr>
        <w:t xml:space="preserve">Option 3: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-DU’s CU </w:t>
      </w:r>
      <w:proofErr w:type="spellStart"/>
      <w:r>
        <w:rPr>
          <w:b/>
          <w:bCs/>
        </w:rPr>
        <w:t>asssumes</w:t>
      </w:r>
      <w:proofErr w:type="spellEnd"/>
      <w:r>
        <w:rPr>
          <w:b/>
          <w:bCs/>
        </w:rPr>
        <w:t xml:space="preserve"> ownership of a TAC that is also owned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-MT’s CU, and it updates all AMFs and </w:t>
      </w:r>
      <w:proofErr w:type="spellStart"/>
      <w:r>
        <w:rPr>
          <w:b/>
          <w:bCs/>
        </w:rPr>
        <w:t>neighbor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about this new TAC ownership, accordingly. </w:t>
      </w:r>
    </w:p>
    <w:p w14:paraId="6C447B4A" w14:textId="77777777" w:rsidR="00DE2CFC" w:rsidRDefault="00DE2CFC" w:rsidP="00DE2CFC">
      <w:pPr>
        <w:spacing w:after="160" w:line="259" w:lineRule="auto"/>
      </w:pPr>
      <w:r w:rsidRPr="005F5B29">
        <w:rPr>
          <w:b/>
          <w:bCs/>
        </w:rPr>
        <w:t>Proposal</w:t>
      </w:r>
      <w:r>
        <w:rPr>
          <w:b/>
          <w:bCs/>
        </w:rPr>
        <w:t xml:space="preserve"> 2c</w:t>
      </w:r>
      <w:r w:rsidRPr="005F5B29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-DU’s CU can reconfigure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-DU-cell’s TAC.</w:t>
      </w:r>
    </w:p>
    <w:p w14:paraId="0B0A0424" w14:textId="77777777" w:rsidR="003A4120" w:rsidRDefault="003A4120" w:rsidP="00A24741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</w:p>
    <w:p w14:paraId="413C8131" w14:textId="5C6F2C5E" w:rsidR="009B1D41" w:rsidRDefault="009B1D41" w:rsidP="009B1D41">
      <w:pPr>
        <w:pStyle w:val="Doc-text2"/>
        <w:ind w:left="0" w:firstLine="0"/>
        <w:rPr>
          <w:rFonts w:ascii="Times New Roman" w:hAnsi="Times New Roman"/>
          <w:b/>
          <w:bCs/>
        </w:rPr>
      </w:pPr>
      <w:r w:rsidRPr="009B1D41">
        <w:rPr>
          <w:rFonts w:ascii="Times New Roman" w:hAnsi="Times New Roman"/>
          <w:b/>
          <w:bCs/>
        </w:rPr>
        <w:t xml:space="preserve">Proposal 3: The source logical </w:t>
      </w:r>
      <w:proofErr w:type="spellStart"/>
      <w:r w:rsidRPr="009B1D41">
        <w:rPr>
          <w:rFonts w:ascii="Times New Roman" w:hAnsi="Times New Roman"/>
          <w:b/>
          <w:bCs/>
        </w:rPr>
        <w:t>mIAB</w:t>
      </w:r>
      <w:proofErr w:type="spellEnd"/>
      <w:r w:rsidRPr="009B1D41">
        <w:rPr>
          <w:rFonts w:ascii="Times New Roman" w:hAnsi="Times New Roman"/>
          <w:b/>
          <w:bCs/>
        </w:rPr>
        <w:t xml:space="preserve">-DU’s CU to include an indicator or UE ID in the Handover Request to the target logical </w:t>
      </w:r>
      <w:proofErr w:type="spellStart"/>
      <w:r w:rsidRPr="009B1D41">
        <w:rPr>
          <w:rFonts w:ascii="Times New Roman" w:hAnsi="Times New Roman"/>
          <w:b/>
          <w:bCs/>
        </w:rPr>
        <w:t>mIAB</w:t>
      </w:r>
      <w:proofErr w:type="spellEnd"/>
      <w:r w:rsidRPr="009B1D41">
        <w:rPr>
          <w:rFonts w:ascii="Times New Roman" w:hAnsi="Times New Roman"/>
          <w:b/>
          <w:bCs/>
        </w:rPr>
        <w:t xml:space="preserve">-DU’s CU, which is passed to the target logical </w:t>
      </w:r>
      <w:proofErr w:type="spellStart"/>
      <w:r w:rsidRPr="009B1D41">
        <w:rPr>
          <w:rFonts w:ascii="Times New Roman" w:hAnsi="Times New Roman"/>
          <w:b/>
          <w:bCs/>
        </w:rPr>
        <w:t>mIAB</w:t>
      </w:r>
      <w:proofErr w:type="spellEnd"/>
      <w:r w:rsidRPr="009B1D41">
        <w:rPr>
          <w:rFonts w:ascii="Times New Roman" w:hAnsi="Times New Roman"/>
          <w:b/>
          <w:bCs/>
        </w:rPr>
        <w:t xml:space="preserve">-DU, so that the target logical </w:t>
      </w:r>
      <w:proofErr w:type="spellStart"/>
      <w:r w:rsidRPr="009B1D41">
        <w:rPr>
          <w:rFonts w:ascii="Times New Roman" w:hAnsi="Times New Roman"/>
          <w:b/>
          <w:bCs/>
        </w:rPr>
        <w:t>mIAB</w:t>
      </w:r>
      <w:proofErr w:type="spellEnd"/>
      <w:r w:rsidRPr="009B1D41">
        <w:rPr>
          <w:rFonts w:ascii="Times New Roman" w:hAnsi="Times New Roman"/>
          <w:b/>
          <w:bCs/>
        </w:rPr>
        <w:t xml:space="preserve">-DU can wave admission control for this UE. </w:t>
      </w:r>
    </w:p>
    <w:p w14:paraId="3005F534" w14:textId="6F9CAAAC" w:rsidR="009B1D41" w:rsidRDefault="009B1D41" w:rsidP="009B1D41">
      <w:pPr>
        <w:pStyle w:val="Doc-text2"/>
        <w:ind w:left="0" w:firstLine="0"/>
        <w:rPr>
          <w:rFonts w:ascii="Times New Roman" w:hAnsi="Times New Roman"/>
          <w:b/>
          <w:bCs/>
        </w:rPr>
      </w:pPr>
    </w:p>
    <w:p w14:paraId="684C8011" w14:textId="77777777" w:rsidR="009B1D41" w:rsidRPr="009B1D41" w:rsidRDefault="009B1D41" w:rsidP="009B1D41">
      <w:pPr>
        <w:pStyle w:val="Doc-text2"/>
        <w:ind w:left="0" w:firstLine="0"/>
        <w:rPr>
          <w:rFonts w:ascii="Times New Roman" w:hAnsi="Times New Roman"/>
          <w:b/>
          <w:bCs/>
        </w:rPr>
      </w:pPr>
    </w:p>
    <w:p w14:paraId="76B248E3" w14:textId="77777777" w:rsidR="00A24741" w:rsidRPr="000B3277" w:rsidRDefault="00A24741" w:rsidP="00A24741">
      <w:pPr>
        <w:pStyle w:val="Agreement"/>
        <w:numPr>
          <w:ilvl w:val="0"/>
          <w:numId w:val="0"/>
        </w:numPr>
        <w:spacing w:before="0" w:after="12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Proposal 4</w:t>
      </w:r>
      <w:r w:rsidRPr="000B3277">
        <w:rPr>
          <w:rFonts w:ascii="Times New Roman" w:hAnsi="Times New Roman"/>
          <w:bCs/>
        </w:rPr>
        <w:t xml:space="preserve">: The </w:t>
      </w:r>
      <w:r>
        <w:rPr>
          <w:rFonts w:ascii="Times New Roman" w:hAnsi="Times New Roman"/>
          <w:bCs/>
        </w:rPr>
        <w:t xml:space="preserve">“mobile-IAB” indication to be included into the </w:t>
      </w:r>
      <w:proofErr w:type="spellStart"/>
      <w:r w:rsidRPr="00A61F80">
        <w:rPr>
          <w:rFonts w:ascii="Times New Roman" w:hAnsi="Times New Roman"/>
          <w:bCs/>
        </w:rPr>
        <w:t>Xn</w:t>
      </w:r>
      <w:proofErr w:type="spellEnd"/>
      <w:r w:rsidRPr="00A61F80">
        <w:rPr>
          <w:rFonts w:ascii="Times New Roman" w:hAnsi="Times New Roman"/>
          <w:bCs/>
        </w:rPr>
        <w:t xml:space="preserve"> SETUP procedures and</w:t>
      </w:r>
      <w:r>
        <w:rPr>
          <w:rFonts w:ascii="Times New Roman" w:hAnsi="Times New Roman"/>
          <w:bCs/>
        </w:rPr>
        <w:t xml:space="preserve"> </w:t>
      </w:r>
      <w:proofErr w:type="spellStart"/>
      <w:r w:rsidRPr="00A61F80">
        <w:rPr>
          <w:rFonts w:ascii="Times New Roman" w:hAnsi="Times New Roman"/>
          <w:bCs/>
        </w:rPr>
        <w:t>Xn</w:t>
      </w:r>
      <w:proofErr w:type="spellEnd"/>
      <w:r w:rsidRPr="00A61F80">
        <w:rPr>
          <w:rFonts w:ascii="Times New Roman" w:hAnsi="Times New Roman"/>
          <w:bCs/>
        </w:rPr>
        <w:t xml:space="preserve"> RAN NODE CONFIGURATION UPDATE procedures</w:t>
      </w:r>
      <w:r>
        <w:rPr>
          <w:rFonts w:ascii="Times New Roman" w:hAnsi="Times New Roman"/>
          <w:bCs/>
        </w:rPr>
        <w:t xml:space="preserve"> so that the UE’s CU can apply differentiated HO and DC policies when the candidate target cell belongs to a mobile IAB-node</w:t>
      </w:r>
      <w:r w:rsidRPr="000B3277">
        <w:rPr>
          <w:rFonts w:ascii="Times New Roman" w:hAnsi="Times New Roman"/>
          <w:bCs/>
        </w:rPr>
        <w:t xml:space="preserve">.   </w:t>
      </w:r>
    </w:p>
    <w:p w14:paraId="2381DAD5" w14:textId="77777777" w:rsidR="00A24741" w:rsidRPr="00C048ED" w:rsidRDefault="00A24741" w:rsidP="0096408F">
      <w:pPr>
        <w:spacing w:after="0"/>
      </w:pPr>
    </w:p>
    <w:p w14:paraId="7F9A5B2E" w14:textId="1B80C4DC" w:rsidR="00CD4C7B" w:rsidRPr="00320A6B" w:rsidRDefault="00CD4C7B" w:rsidP="00993C96">
      <w:pPr>
        <w:pStyle w:val="Heading1"/>
      </w:pPr>
      <w:r w:rsidRPr="00320A6B">
        <w:t>References</w:t>
      </w:r>
    </w:p>
    <w:p w14:paraId="73B8F9FA" w14:textId="6301AE09" w:rsidR="00E1376C" w:rsidRDefault="00E1376C" w:rsidP="00E1376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OLE_LINK52"/>
      <w:bookmarkStart w:id="1" w:name="OLE_LINK51"/>
      <w:bookmarkStart w:id="2" w:name="OLE_LINK50"/>
      <w:bookmarkStart w:id="3" w:name="_Ref490247806"/>
      <w:r>
        <w:rPr>
          <w:lang w:eastAsia="zh-CN"/>
        </w:rPr>
        <w:t xml:space="preserve">Chairman notes, </w:t>
      </w:r>
      <w:r w:rsidRPr="00213E7A">
        <w:rPr>
          <w:lang w:val="en-US" w:eastAsia="zh-CN"/>
        </w:rPr>
        <w:t>TSG-RAN WG3 Meeting #1</w:t>
      </w:r>
      <w:r>
        <w:rPr>
          <w:lang w:val="en-US" w:eastAsia="zh-CN"/>
        </w:rPr>
        <w:t>17bis-e</w:t>
      </w:r>
      <w:r w:rsidRPr="00213E7A">
        <w:rPr>
          <w:lang w:val="en-US" w:eastAsia="zh-CN"/>
        </w:rPr>
        <w:t xml:space="preserve">, </w:t>
      </w:r>
      <w:r>
        <w:rPr>
          <w:lang w:val="en-US" w:eastAsia="zh-CN"/>
        </w:rPr>
        <w:t>electronic meeting, August</w:t>
      </w:r>
      <w:r w:rsidRPr="00213E7A">
        <w:rPr>
          <w:lang w:val="en-US" w:eastAsia="zh-CN"/>
        </w:rPr>
        <w:t xml:space="preserve"> 202</w:t>
      </w:r>
      <w:r>
        <w:rPr>
          <w:lang w:val="en-US" w:eastAsia="zh-CN"/>
        </w:rPr>
        <w:t>2</w:t>
      </w:r>
      <w:r w:rsidRPr="00213E7A">
        <w:rPr>
          <w:lang w:val="en-US" w:eastAsia="zh-CN"/>
        </w:rPr>
        <w:t xml:space="preserve">.                                                                        </w:t>
      </w:r>
    </w:p>
    <w:p w14:paraId="34A16E66" w14:textId="5AF49C20" w:rsidR="00713611" w:rsidRDefault="00044173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 xml:space="preserve">Chairman notes, </w:t>
      </w:r>
      <w:r w:rsidR="00713611" w:rsidRPr="00213E7A">
        <w:rPr>
          <w:lang w:val="en-US" w:eastAsia="zh-CN"/>
        </w:rPr>
        <w:t>TSG-RAN WG3</w:t>
      </w:r>
      <w:bookmarkEnd w:id="0"/>
      <w:bookmarkEnd w:id="1"/>
      <w:bookmarkEnd w:id="2"/>
      <w:r w:rsidR="00713611" w:rsidRPr="00213E7A">
        <w:rPr>
          <w:lang w:val="en-US" w:eastAsia="zh-CN"/>
        </w:rPr>
        <w:t xml:space="preserve"> Meeting #1</w:t>
      </w:r>
      <w:r w:rsidR="006A5209">
        <w:rPr>
          <w:lang w:val="en-US" w:eastAsia="zh-CN"/>
        </w:rPr>
        <w:t>18</w:t>
      </w:r>
      <w:r w:rsidR="00713611" w:rsidRPr="00213E7A">
        <w:rPr>
          <w:lang w:val="en-US" w:eastAsia="zh-CN"/>
        </w:rPr>
        <w:t xml:space="preserve">, </w:t>
      </w:r>
      <w:r w:rsidR="006A5209">
        <w:rPr>
          <w:lang w:val="en-US" w:eastAsia="zh-CN"/>
        </w:rPr>
        <w:t>Toulouse, France</w:t>
      </w:r>
      <w:r w:rsidR="00713611" w:rsidRPr="00213E7A">
        <w:rPr>
          <w:lang w:val="en-US" w:eastAsia="zh-CN"/>
        </w:rPr>
        <w:t xml:space="preserve">, </w:t>
      </w:r>
      <w:r w:rsidR="006A5209">
        <w:rPr>
          <w:lang w:val="en-US" w:eastAsia="zh-CN"/>
        </w:rPr>
        <w:t>November</w:t>
      </w:r>
      <w:r w:rsidR="00713611" w:rsidRPr="00213E7A">
        <w:rPr>
          <w:lang w:val="en-US" w:eastAsia="zh-CN"/>
        </w:rPr>
        <w:t xml:space="preserve"> 202</w:t>
      </w:r>
      <w:r>
        <w:rPr>
          <w:lang w:val="en-US" w:eastAsia="zh-CN"/>
        </w:rPr>
        <w:t>2</w:t>
      </w:r>
      <w:r w:rsidR="00713611" w:rsidRPr="00213E7A">
        <w:rPr>
          <w:lang w:val="en-US" w:eastAsia="zh-CN"/>
        </w:rPr>
        <w:t xml:space="preserve">.                                                                        </w:t>
      </w:r>
    </w:p>
    <w:bookmarkEnd w:id="3"/>
    <w:p w14:paraId="18A8108C" w14:textId="77777777" w:rsidR="00080512" w:rsidRPr="00320A6B" w:rsidRDefault="00080512" w:rsidP="00D8089E">
      <w:pPr>
        <w:overflowPunct w:val="0"/>
        <w:autoSpaceDE w:val="0"/>
        <w:autoSpaceDN w:val="0"/>
        <w:adjustRightInd w:val="0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5C209" w14:textId="77777777" w:rsidR="0056441A" w:rsidRDefault="0056441A">
      <w:r>
        <w:separator/>
      </w:r>
    </w:p>
  </w:endnote>
  <w:endnote w:type="continuationSeparator" w:id="0">
    <w:p w14:paraId="538CCA1B" w14:textId="77777777" w:rsidR="0056441A" w:rsidRDefault="0056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3B7CB" w14:textId="77777777" w:rsidR="0056441A" w:rsidRDefault="0056441A">
      <w:r>
        <w:separator/>
      </w:r>
    </w:p>
  </w:footnote>
  <w:footnote w:type="continuationSeparator" w:id="0">
    <w:p w14:paraId="16892B51" w14:textId="77777777" w:rsidR="0056441A" w:rsidRDefault="00564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F5F84"/>
    <w:multiLevelType w:val="hybridMultilevel"/>
    <w:tmpl w:val="F1FCF770"/>
    <w:lvl w:ilvl="0" w:tplc="9E08448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A10CC"/>
    <w:multiLevelType w:val="hybridMultilevel"/>
    <w:tmpl w:val="62A4B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B95"/>
    <w:multiLevelType w:val="hybridMultilevel"/>
    <w:tmpl w:val="A7E81F34"/>
    <w:lvl w:ilvl="0" w:tplc="B4C8DAB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60C28"/>
    <w:multiLevelType w:val="hybridMultilevel"/>
    <w:tmpl w:val="4990AF64"/>
    <w:lvl w:ilvl="0" w:tplc="E1C270F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963257"/>
    <w:multiLevelType w:val="hybridMultilevel"/>
    <w:tmpl w:val="D286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C1741"/>
    <w:multiLevelType w:val="hybridMultilevel"/>
    <w:tmpl w:val="6786F2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37D70"/>
    <w:multiLevelType w:val="hybridMultilevel"/>
    <w:tmpl w:val="6B02BF36"/>
    <w:lvl w:ilvl="0" w:tplc="48F418B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10" w15:restartNumberingAfterBreak="0">
    <w:nsid w:val="7F4C54A5"/>
    <w:multiLevelType w:val="hybridMultilevel"/>
    <w:tmpl w:val="52621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795934">
    <w:abstractNumId w:val="4"/>
  </w:num>
  <w:num w:numId="2" w16cid:durableId="1145202652">
    <w:abstractNumId w:val="9"/>
  </w:num>
  <w:num w:numId="3" w16cid:durableId="446775667">
    <w:abstractNumId w:val="7"/>
  </w:num>
  <w:num w:numId="4" w16cid:durableId="232207417">
    <w:abstractNumId w:val="10"/>
  </w:num>
  <w:num w:numId="5" w16cid:durableId="2103141957">
    <w:abstractNumId w:val="5"/>
  </w:num>
  <w:num w:numId="6" w16cid:durableId="521818101">
    <w:abstractNumId w:val="6"/>
  </w:num>
  <w:num w:numId="7" w16cid:durableId="132143542">
    <w:abstractNumId w:val="2"/>
  </w:num>
  <w:num w:numId="8" w16cid:durableId="632251553">
    <w:abstractNumId w:val="0"/>
  </w:num>
  <w:num w:numId="9" w16cid:durableId="2084257100">
    <w:abstractNumId w:val="3"/>
  </w:num>
  <w:num w:numId="10" w16cid:durableId="219826405">
    <w:abstractNumId w:val="1"/>
  </w:num>
  <w:num w:numId="11" w16cid:durableId="212423007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077EC"/>
    <w:rsid w:val="00010161"/>
    <w:rsid w:val="00010B25"/>
    <w:rsid w:val="00012887"/>
    <w:rsid w:val="00013C23"/>
    <w:rsid w:val="000147A7"/>
    <w:rsid w:val="000152D3"/>
    <w:rsid w:val="0001796A"/>
    <w:rsid w:val="000205B8"/>
    <w:rsid w:val="00020686"/>
    <w:rsid w:val="00023FC6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2160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19FA"/>
    <w:rsid w:val="00041D5D"/>
    <w:rsid w:val="000422C5"/>
    <w:rsid w:val="00042A22"/>
    <w:rsid w:val="0004341F"/>
    <w:rsid w:val="00044173"/>
    <w:rsid w:val="00044ED2"/>
    <w:rsid w:val="00045625"/>
    <w:rsid w:val="00046FE5"/>
    <w:rsid w:val="0004707F"/>
    <w:rsid w:val="00050031"/>
    <w:rsid w:val="000516D8"/>
    <w:rsid w:val="000519B0"/>
    <w:rsid w:val="0005270E"/>
    <w:rsid w:val="00053171"/>
    <w:rsid w:val="00056DB2"/>
    <w:rsid w:val="00060212"/>
    <w:rsid w:val="0006135D"/>
    <w:rsid w:val="00061505"/>
    <w:rsid w:val="00065659"/>
    <w:rsid w:val="00065D6B"/>
    <w:rsid w:val="00066096"/>
    <w:rsid w:val="00071167"/>
    <w:rsid w:val="000716A1"/>
    <w:rsid w:val="00071C62"/>
    <w:rsid w:val="00072D5E"/>
    <w:rsid w:val="000732E0"/>
    <w:rsid w:val="00073EB1"/>
    <w:rsid w:val="00074261"/>
    <w:rsid w:val="0007762E"/>
    <w:rsid w:val="00077C88"/>
    <w:rsid w:val="00080512"/>
    <w:rsid w:val="000812F8"/>
    <w:rsid w:val="00083B66"/>
    <w:rsid w:val="00084591"/>
    <w:rsid w:val="000860E7"/>
    <w:rsid w:val="0008762B"/>
    <w:rsid w:val="00087E3D"/>
    <w:rsid w:val="00090401"/>
    <w:rsid w:val="00090468"/>
    <w:rsid w:val="00091C5C"/>
    <w:rsid w:val="00092265"/>
    <w:rsid w:val="000926D3"/>
    <w:rsid w:val="00093164"/>
    <w:rsid w:val="00096258"/>
    <w:rsid w:val="0009788E"/>
    <w:rsid w:val="000A050C"/>
    <w:rsid w:val="000A174A"/>
    <w:rsid w:val="000A3F9B"/>
    <w:rsid w:val="000A5AD5"/>
    <w:rsid w:val="000B0C46"/>
    <w:rsid w:val="000B19D0"/>
    <w:rsid w:val="000B4D19"/>
    <w:rsid w:val="000B5585"/>
    <w:rsid w:val="000B7952"/>
    <w:rsid w:val="000B7BCF"/>
    <w:rsid w:val="000C0524"/>
    <w:rsid w:val="000C170F"/>
    <w:rsid w:val="000C285F"/>
    <w:rsid w:val="000C2CA3"/>
    <w:rsid w:val="000C2D34"/>
    <w:rsid w:val="000C415C"/>
    <w:rsid w:val="000C416C"/>
    <w:rsid w:val="000C4560"/>
    <w:rsid w:val="000C4AA7"/>
    <w:rsid w:val="000C522B"/>
    <w:rsid w:val="000C5567"/>
    <w:rsid w:val="000C564A"/>
    <w:rsid w:val="000C5DF5"/>
    <w:rsid w:val="000C77C8"/>
    <w:rsid w:val="000C7894"/>
    <w:rsid w:val="000D03EC"/>
    <w:rsid w:val="000D0B0C"/>
    <w:rsid w:val="000D137A"/>
    <w:rsid w:val="000D13ED"/>
    <w:rsid w:val="000D30A2"/>
    <w:rsid w:val="000D3C9D"/>
    <w:rsid w:val="000D58AB"/>
    <w:rsid w:val="000D67EF"/>
    <w:rsid w:val="000D6B39"/>
    <w:rsid w:val="000E427B"/>
    <w:rsid w:val="000E49BE"/>
    <w:rsid w:val="000E5617"/>
    <w:rsid w:val="000E6697"/>
    <w:rsid w:val="000F03B7"/>
    <w:rsid w:val="000F2F84"/>
    <w:rsid w:val="000F342D"/>
    <w:rsid w:val="000F4654"/>
    <w:rsid w:val="000F4EBC"/>
    <w:rsid w:val="000F5DDE"/>
    <w:rsid w:val="0010106D"/>
    <w:rsid w:val="00101232"/>
    <w:rsid w:val="00101BA1"/>
    <w:rsid w:val="00102DAD"/>
    <w:rsid w:val="00104704"/>
    <w:rsid w:val="001056E5"/>
    <w:rsid w:val="00106455"/>
    <w:rsid w:val="00107EE0"/>
    <w:rsid w:val="00111B2B"/>
    <w:rsid w:val="0011222A"/>
    <w:rsid w:val="00113088"/>
    <w:rsid w:val="0011470F"/>
    <w:rsid w:val="00114E65"/>
    <w:rsid w:val="001158B5"/>
    <w:rsid w:val="00116DE8"/>
    <w:rsid w:val="00120844"/>
    <w:rsid w:val="00120C85"/>
    <w:rsid w:val="00121FB7"/>
    <w:rsid w:val="00122250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2C82"/>
    <w:rsid w:val="00142D7A"/>
    <w:rsid w:val="0014488C"/>
    <w:rsid w:val="00144B7D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171"/>
    <w:rsid w:val="0016098E"/>
    <w:rsid w:val="00160AF6"/>
    <w:rsid w:val="001614F2"/>
    <w:rsid w:val="00161683"/>
    <w:rsid w:val="001619CF"/>
    <w:rsid w:val="00161E4A"/>
    <w:rsid w:val="0016224C"/>
    <w:rsid w:val="00162AE7"/>
    <w:rsid w:val="00163DF7"/>
    <w:rsid w:val="00163E1F"/>
    <w:rsid w:val="00166EB4"/>
    <w:rsid w:val="00167246"/>
    <w:rsid w:val="00167A87"/>
    <w:rsid w:val="00171DBA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872C6"/>
    <w:rsid w:val="00190C58"/>
    <w:rsid w:val="00194CC5"/>
    <w:rsid w:val="00194CD0"/>
    <w:rsid w:val="001962D6"/>
    <w:rsid w:val="00196C23"/>
    <w:rsid w:val="0019788E"/>
    <w:rsid w:val="001A16DE"/>
    <w:rsid w:val="001A2942"/>
    <w:rsid w:val="001A2B4C"/>
    <w:rsid w:val="001A5335"/>
    <w:rsid w:val="001A6D8E"/>
    <w:rsid w:val="001A7342"/>
    <w:rsid w:val="001A7BA3"/>
    <w:rsid w:val="001B39BC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0EA"/>
    <w:rsid w:val="001D4FB0"/>
    <w:rsid w:val="001D599B"/>
    <w:rsid w:val="001D6CF3"/>
    <w:rsid w:val="001D6DC6"/>
    <w:rsid w:val="001E284D"/>
    <w:rsid w:val="001E3388"/>
    <w:rsid w:val="001E53A0"/>
    <w:rsid w:val="001E5C04"/>
    <w:rsid w:val="001E61CD"/>
    <w:rsid w:val="001E70D7"/>
    <w:rsid w:val="001F1680"/>
    <w:rsid w:val="001F168B"/>
    <w:rsid w:val="001F1CFE"/>
    <w:rsid w:val="001F2E7F"/>
    <w:rsid w:val="001F34F3"/>
    <w:rsid w:val="001F4187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2D5A"/>
    <w:rsid w:val="00203645"/>
    <w:rsid w:val="0020370C"/>
    <w:rsid w:val="00203C3A"/>
    <w:rsid w:val="00204045"/>
    <w:rsid w:val="0020425F"/>
    <w:rsid w:val="00206ED3"/>
    <w:rsid w:val="00207079"/>
    <w:rsid w:val="00211C40"/>
    <w:rsid w:val="0021353E"/>
    <w:rsid w:val="002138DD"/>
    <w:rsid w:val="00213E43"/>
    <w:rsid w:val="00213E7A"/>
    <w:rsid w:val="002148B0"/>
    <w:rsid w:val="00214E95"/>
    <w:rsid w:val="00215C7D"/>
    <w:rsid w:val="00216471"/>
    <w:rsid w:val="00216FA7"/>
    <w:rsid w:val="002217C0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18"/>
    <w:rsid w:val="00233A4C"/>
    <w:rsid w:val="00235144"/>
    <w:rsid w:val="0023607B"/>
    <w:rsid w:val="00236E01"/>
    <w:rsid w:val="00242D19"/>
    <w:rsid w:val="0024485F"/>
    <w:rsid w:val="00245A2A"/>
    <w:rsid w:val="00245B7D"/>
    <w:rsid w:val="00250812"/>
    <w:rsid w:val="00250B04"/>
    <w:rsid w:val="0025406F"/>
    <w:rsid w:val="00256B66"/>
    <w:rsid w:val="00260AE7"/>
    <w:rsid w:val="00262113"/>
    <w:rsid w:val="00262EDD"/>
    <w:rsid w:val="00263406"/>
    <w:rsid w:val="0026614D"/>
    <w:rsid w:val="00266702"/>
    <w:rsid w:val="0026699C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2EEA"/>
    <w:rsid w:val="002855BF"/>
    <w:rsid w:val="002879DE"/>
    <w:rsid w:val="00290FC1"/>
    <w:rsid w:val="002917DD"/>
    <w:rsid w:val="00293031"/>
    <w:rsid w:val="00293D82"/>
    <w:rsid w:val="002956AA"/>
    <w:rsid w:val="00295765"/>
    <w:rsid w:val="002966A8"/>
    <w:rsid w:val="002967F0"/>
    <w:rsid w:val="002A00A9"/>
    <w:rsid w:val="002A09FF"/>
    <w:rsid w:val="002A4AD1"/>
    <w:rsid w:val="002A577D"/>
    <w:rsid w:val="002A717B"/>
    <w:rsid w:val="002B17AD"/>
    <w:rsid w:val="002B4AC3"/>
    <w:rsid w:val="002B69DE"/>
    <w:rsid w:val="002B7133"/>
    <w:rsid w:val="002C028A"/>
    <w:rsid w:val="002C2767"/>
    <w:rsid w:val="002C3919"/>
    <w:rsid w:val="002C6EDD"/>
    <w:rsid w:val="002C708A"/>
    <w:rsid w:val="002D10D9"/>
    <w:rsid w:val="002D208C"/>
    <w:rsid w:val="002D251E"/>
    <w:rsid w:val="002D2AB9"/>
    <w:rsid w:val="002D4340"/>
    <w:rsid w:val="002D50EB"/>
    <w:rsid w:val="002E13C5"/>
    <w:rsid w:val="002E1D57"/>
    <w:rsid w:val="002E20AB"/>
    <w:rsid w:val="002E2595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3FF4"/>
    <w:rsid w:val="002F4EB5"/>
    <w:rsid w:val="002F61D6"/>
    <w:rsid w:val="002F67D1"/>
    <w:rsid w:val="002F6BC2"/>
    <w:rsid w:val="0030002C"/>
    <w:rsid w:val="003007BF"/>
    <w:rsid w:val="0030249C"/>
    <w:rsid w:val="00305ECA"/>
    <w:rsid w:val="00306271"/>
    <w:rsid w:val="0030641B"/>
    <w:rsid w:val="00311E70"/>
    <w:rsid w:val="00312D34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6E2"/>
    <w:rsid w:val="00320A6B"/>
    <w:rsid w:val="00320E41"/>
    <w:rsid w:val="00321520"/>
    <w:rsid w:val="00322D89"/>
    <w:rsid w:val="00326069"/>
    <w:rsid w:val="00326242"/>
    <w:rsid w:val="00330542"/>
    <w:rsid w:val="00331D99"/>
    <w:rsid w:val="0033423E"/>
    <w:rsid w:val="003358EA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47974"/>
    <w:rsid w:val="00353EFF"/>
    <w:rsid w:val="003543AB"/>
    <w:rsid w:val="0035462D"/>
    <w:rsid w:val="00354E1B"/>
    <w:rsid w:val="0035525A"/>
    <w:rsid w:val="003577E7"/>
    <w:rsid w:val="003603A9"/>
    <w:rsid w:val="00360AEC"/>
    <w:rsid w:val="00360E1A"/>
    <w:rsid w:val="003611C1"/>
    <w:rsid w:val="00361CFA"/>
    <w:rsid w:val="00362020"/>
    <w:rsid w:val="00362050"/>
    <w:rsid w:val="00365F68"/>
    <w:rsid w:val="0036720B"/>
    <w:rsid w:val="00371744"/>
    <w:rsid w:val="00372D36"/>
    <w:rsid w:val="003739C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D19"/>
    <w:rsid w:val="00384E6A"/>
    <w:rsid w:val="003860EA"/>
    <w:rsid w:val="0038677D"/>
    <w:rsid w:val="0039145F"/>
    <w:rsid w:val="003921CE"/>
    <w:rsid w:val="00393B29"/>
    <w:rsid w:val="00394322"/>
    <w:rsid w:val="00394B46"/>
    <w:rsid w:val="00395806"/>
    <w:rsid w:val="003A07EE"/>
    <w:rsid w:val="003A1265"/>
    <w:rsid w:val="003A16C0"/>
    <w:rsid w:val="003A3EA0"/>
    <w:rsid w:val="003A3EBC"/>
    <w:rsid w:val="003A40EE"/>
    <w:rsid w:val="003A4120"/>
    <w:rsid w:val="003A415E"/>
    <w:rsid w:val="003A4664"/>
    <w:rsid w:val="003A4749"/>
    <w:rsid w:val="003A4DA4"/>
    <w:rsid w:val="003A4E37"/>
    <w:rsid w:val="003A50F8"/>
    <w:rsid w:val="003A5C13"/>
    <w:rsid w:val="003A5F6D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C78"/>
    <w:rsid w:val="003E4DDA"/>
    <w:rsid w:val="003E588D"/>
    <w:rsid w:val="003E6C37"/>
    <w:rsid w:val="003E6D72"/>
    <w:rsid w:val="003F01B7"/>
    <w:rsid w:val="003F037E"/>
    <w:rsid w:val="003F0B44"/>
    <w:rsid w:val="003F1AF2"/>
    <w:rsid w:val="003F28F4"/>
    <w:rsid w:val="003F354C"/>
    <w:rsid w:val="003F3E81"/>
    <w:rsid w:val="003F553D"/>
    <w:rsid w:val="003F73EF"/>
    <w:rsid w:val="003F799F"/>
    <w:rsid w:val="003F7E61"/>
    <w:rsid w:val="00400113"/>
    <w:rsid w:val="00400AF9"/>
    <w:rsid w:val="00401520"/>
    <w:rsid w:val="00401855"/>
    <w:rsid w:val="0040264D"/>
    <w:rsid w:val="00402B5B"/>
    <w:rsid w:val="0040301A"/>
    <w:rsid w:val="004032C7"/>
    <w:rsid w:val="00405800"/>
    <w:rsid w:val="00407E03"/>
    <w:rsid w:val="00410637"/>
    <w:rsid w:val="00410743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6CA"/>
    <w:rsid w:val="004378F1"/>
    <w:rsid w:val="00437E0C"/>
    <w:rsid w:val="00440961"/>
    <w:rsid w:val="00440AA6"/>
    <w:rsid w:val="00440E15"/>
    <w:rsid w:val="00443341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0E76"/>
    <w:rsid w:val="00471B44"/>
    <w:rsid w:val="00471CDE"/>
    <w:rsid w:val="0047331C"/>
    <w:rsid w:val="00474C33"/>
    <w:rsid w:val="0047536C"/>
    <w:rsid w:val="00476CAD"/>
    <w:rsid w:val="00477455"/>
    <w:rsid w:val="004807E3"/>
    <w:rsid w:val="00480D23"/>
    <w:rsid w:val="0048130D"/>
    <w:rsid w:val="004832C4"/>
    <w:rsid w:val="00483C1D"/>
    <w:rsid w:val="00485492"/>
    <w:rsid w:val="00485BDB"/>
    <w:rsid w:val="004864C2"/>
    <w:rsid w:val="0048777C"/>
    <w:rsid w:val="00492258"/>
    <w:rsid w:val="00492558"/>
    <w:rsid w:val="0049656C"/>
    <w:rsid w:val="004972DD"/>
    <w:rsid w:val="00497953"/>
    <w:rsid w:val="004A0319"/>
    <w:rsid w:val="004A0CBC"/>
    <w:rsid w:val="004A2B72"/>
    <w:rsid w:val="004A2F60"/>
    <w:rsid w:val="004A32F3"/>
    <w:rsid w:val="004A3938"/>
    <w:rsid w:val="004A4700"/>
    <w:rsid w:val="004A59FA"/>
    <w:rsid w:val="004A68F4"/>
    <w:rsid w:val="004A7304"/>
    <w:rsid w:val="004B20E3"/>
    <w:rsid w:val="004B39DD"/>
    <w:rsid w:val="004B41F8"/>
    <w:rsid w:val="004B5CED"/>
    <w:rsid w:val="004B68D7"/>
    <w:rsid w:val="004B7120"/>
    <w:rsid w:val="004C1531"/>
    <w:rsid w:val="004C1803"/>
    <w:rsid w:val="004C1974"/>
    <w:rsid w:val="004C229D"/>
    <w:rsid w:val="004C2E68"/>
    <w:rsid w:val="004C36D6"/>
    <w:rsid w:val="004C3739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E55E8"/>
    <w:rsid w:val="004E7113"/>
    <w:rsid w:val="004F0DE1"/>
    <w:rsid w:val="004F10A5"/>
    <w:rsid w:val="004F156A"/>
    <w:rsid w:val="004F5510"/>
    <w:rsid w:val="004F6280"/>
    <w:rsid w:val="00502735"/>
    <w:rsid w:val="00502BC6"/>
    <w:rsid w:val="00503171"/>
    <w:rsid w:val="005037A0"/>
    <w:rsid w:val="00503B86"/>
    <w:rsid w:val="00506C28"/>
    <w:rsid w:val="00511F56"/>
    <w:rsid w:val="0051299A"/>
    <w:rsid w:val="00514D10"/>
    <w:rsid w:val="00516518"/>
    <w:rsid w:val="005169F2"/>
    <w:rsid w:val="00516AC5"/>
    <w:rsid w:val="0051770A"/>
    <w:rsid w:val="005214E8"/>
    <w:rsid w:val="00522978"/>
    <w:rsid w:val="0052314A"/>
    <w:rsid w:val="005234CD"/>
    <w:rsid w:val="00523FEE"/>
    <w:rsid w:val="00525155"/>
    <w:rsid w:val="00526A29"/>
    <w:rsid w:val="00527DE0"/>
    <w:rsid w:val="00532A92"/>
    <w:rsid w:val="00534312"/>
    <w:rsid w:val="00534DA0"/>
    <w:rsid w:val="0053506A"/>
    <w:rsid w:val="00535D0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50A"/>
    <w:rsid w:val="005506D7"/>
    <w:rsid w:val="0055198B"/>
    <w:rsid w:val="00551ED5"/>
    <w:rsid w:val="00551ED6"/>
    <w:rsid w:val="00551F97"/>
    <w:rsid w:val="00552D11"/>
    <w:rsid w:val="00553021"/>
    <w:rsid w:val="00555CE2"/>
    <w:rsid w:val="00556E7B"/>
    <w:rsid w:val="0056076A"/>
    <w:rsid w:val="0056441A"/>
    <w:rsid w:val="0056469D"/>
    <w:rsid w:val="0056480F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3B7D"/>
    <w:rsid w:val="00573DDF"/>
    <w:rsid w:val="005740A5"/>
    <w:rsid w:val="0057442F"/>
    <w:rsid w:val="00574881"/>
    <w:rsid w:val="0057551C"/>
    <w:rsid w:val="0057656C"/>
    <w:rsid w:val="00577E61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1952"/>
    <w:rsid w:val="005920E6"/>
    <w:rsid w:val="00593715"/>
    <w:rsid w:val="005938B5"/>
    <w:rsid w:val="00593B6E"/>
    <w:rsid w:val="00594B5F"/>
    <w:rsid w:val="0059501A"/>
    <w:rsid w:val="00595E0D"/>
    <w:rsid w:val="00596A54"/>
    <w:rsid w:val="005A0B84"/>
    <w:rsid w:val="005A14B6"/>
    <w:rsid w:val="005A166D"/>
    <w:rsid w:val="005A2CAD"/>
    <w:rsid w:val="005A480E"/>
    <w:rsid w:val="005A6916"/>
    <w:rsid w:val="005B1DC5"/>
    <w:rsid w:val="005B249B"/>
    <w:rsid w:val="005B3C9A"/>
    <w:rsid w:val="005B46AD"/>
    <w:rsid w:val="005B701B"/>
    <w:rsid w:val="005B7BAA"/>
    <w:rsid w:val="005C0207"/>
    <w:rsid w:val="005C15EC"/>
    <w:rsid w:val="005C25FE"/>
    <w:rsid w:val="005C268D"/>
    <w:rsid w:val="005C2845"/>
    <w:rsid w:val="005C3BB4"/>
    <w:rsid w:val="005C43EE"/>
    <w:rsid w:val="005C528A"/>
    <w:rsid w:val="005C5C31"/>
    <w:rsid w:val="005C7E45"/>
    <w:rsid w:val="005D5447"/>
    <w:rsid w:val="005D661E"/>
    <w:rsid w:val="005E13E6"/>
    <w:rsid w:val="005E18E0"/>
    <w:rsid w:val="005E1A07"/>
    <w:rsid w:val="005E5D4F"/>
    <w:rsid w:val="005E6A6C"/>
    <w:rsid w:val="005F071B"/>
    <w:rsid w:val="005F21F1"/>
    <w:rsid w:val="005F2EDF"/>
    <w:rsid w:val="005F3692"/>
    <w:rsid w:val="005F4E8E"/>
    <w:rsid w:val="005F5B29"/>
    <w:rsid w:val="005F6802"/>
    <w:rsid w:val="005F70C3"/>
    <w:rsid w:val="00600C54"/>
    <w:rsid w:val="0060164A"/>
    <w:rsid w:val="00602641"/>
    <w:rsid w:val="00603219"/>
    <w:rsid w:val="006037F7"/>
    <w:rsid w:val="00605118"/>
    <w:rsid w:val="006067A4"/>
    <w:rsid w:val="00610359"/>
    <w:rsid w:val="006112AF"/>
    <w:rsid w:val="00611566"/>
    <w:rsid w:val="00611F13"/>
    <w:rsid w:val="00613340"/>
    <w:rsid w:val="00614EE6"/>
    <w:rsid w:val="00615076"/>
    <w:rsid w:val="00615B03"/>
    <w:rsid w:val="00615CCD"/>
    <w:rsid w:val="006177A0"/>
    <w:rsid w:val="00617D23"/>
    <w:rsid w:val="00621140"/>
    <w:rsid w:val="006211DA"/>
    <w:rsid w:val="00621371"/>
    <w:rsid w:val="00623713"/>
    <w:rsid w:val="00623A25"/>
    <w:rsid w:val="0062480B"/>
    <w:rsid w:val="006254F4"/>
    <w:rsid w:val="00626696"/>
    <w:rsid w:val="0062739F"/>
    <w:rsid w:val="006277B2"/>
    <w:rsid w:val="00631DBD"/>
    <w:rsid w:val="00632222"/>
    <w:rsid w:val="00633FF0"/>
    <w:rsid w:val="00635F47"/>
    <w:rsid w:val="006365BD"/>
    <w:rsid w:val="00637427"/>
    <w:rsid w:val="00637E48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4D6"/>
    <w:rsid w:val="00656910"/>
    <w:rsid w:val="006600CD"/>
    <w:rsid w:val="00660764"/>
    <w:rsid w:val="006616ED"/>
    <w:rsid w:val="00662592"/>
    <w:rsid w:val="0066344B"/>
    <w:rsid w:val="006645DE"/>
    <w:rsid w:val="00665BE7"/>
    <w:rsid w:val="00666483"/>
    <w:rsid w:val="00666DD5"/>
    <w:rsid w:val="006678B0"/>
    <w:rsid w:val="00670013"/>
    <w:rsid w:val="00670FA9"/>
    <w:rsid w:val="00672E6C"/>
    <w:rsid w:val="006731E0"/>
    <w:rsid w:val="006762DC"/>
    <w:rsid w:val="0068064C"/>
    <w:rsid w:val="00680C10"/>
    <w:rsid w:val="00681379"/>
    <w:rsid w:val="006819F6"/>
    <w:rsid w:val="006829F2"/>
    <w:rsid w:val="00682D58"/>
    <w:rsid w:val="006850E3"/>
    <w:rsid w:val="006856CF"/>
    <w:rsid w:val="0068681F"/>
    <w:rsid w:val="0068738A"/>
    <w:rsid w:val="006901D6"/>
    <w:rsid w:val="00690205"/>
    <w:rsid w:val="006926BA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209"/>
    <w:rsid w:val="006A54BE"/>
    <w:rsid w:val="006A6944"/>
    <w:rsid w:val="006B0254"/>
    <w:rsid w:val="006B4D84"/>
    <w:rsid w:val="006B605E"/>
    <w:rsid w:val="006B6466"/>
    <w:rsid w:val="006B7943"/>
    <w:rsid w:val="006B7B32"/>
    <w:rsid w:val="006C0FBC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0E56"/>
    <w:rsid w:val="006E1417"/>
    <w:rsid w:val="006E1583"/>
    <w:rsid w:val="006E1E07"/>
    <w:rsid w:val="006E4365"/>
    <w:rsid w:val="006E5AD2"/>
    <w:rsid w:val="006E6D90"/>
    <w:rsid w:val="006E7397"/>
    <w:rsid w:val="006F0D09"/>
    <w:rsid w:val="006F0EE0"/>
    <w:rsid w:val="006F1C88"/>
    <w:rsid w:val="006F25E4"/>
    <w:rsid w:val="006F32EA"/>
    <w:rsid w:val="006F3ADE"/>
    <w:rsid w:val="006F47F6"/>
    <w:rsid w:val="006F5187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3611"/>
    <w:rsid w:val="00715050"/>
    <w:rsid w:val="00715F4F"/>
    <w:rsid w:val="00716280"/>
    <w:rsid w:val="0071689E"/>
    <w:rsid w:val="00717A1C"/>
    <w:rsid w:val="0072014D"/>
    <w:rsid w:val="00721FCB"/>
    <w:rsid w:val="00723E91"/>
    <w:rsid w:val="00727896"/>
    <w:rsid w:val="00730422"/>
    <w:rsid w:val="007326DE"/>
    <w:rsid w:val="00734A5B"/>
    <w:rsid w:val="00734CEE"/>
    <w:rsid w:val="00735E81"/>
    <w:rsid w:val="00735F8A"/>
    <w:rsid w:val="00736504"/>
    <w:rsid w:val="007418B7"/>
    <w:rsid w:val="00741E7A"/>
    <w:rsid w:val="00744E76"/>
    <w:rsid w:val="007460EF"/>
    <w:rsid w:val="00747535"/>
    <w:rsid w:val="00747A03"/>
    <w:rsid w:val="00747D0A"/>
    <w:rsid w:val="007504A9"/>
    <w:rsid w:val="0075199C"/>
    <w:rsid w:val="007527B7"/>
    <w:rsid w:val="00753591"/>
    <w:rsid w:val="007542F1"/>
    <w:rsid w:val="00754EED"/>
    <w:rsid w:val="007565AD"/>
    <w:rsid w:val="00757D40"/>
    <w:rsid w:val="007636D3"/>
    <w:rsid w:val="007658B7"/>
    <w:rsid w:val="007665C4"/>
    <w:rsid w:val="007672A4"/>
    <w:rsid w:val="0076792F"/>
    <w:rsid w:val="0077022C"/>
    <w:rsid w:val="0077039F"/>
    <w:rsid w:val="00771416"/>
    <w:rsid w:val="0077195B"/>
    <w:rsid w:val="00771BCD"/>
    <w:rsid w:val="00773ACB"/>
    <w:rsid w:val="00776516"/>
    <w:rsid w:val="00776C2C"/>
    <w:rsid w:val="0077721F"/>
    <w:rsid w:val="007811A2"/>
    <w:rsid w:val="00781F0F"/>
    <w:rsid w:val="0078206E"/>
    <w:rsid w:val="007825E2"/>
    <w:rsid w:val="00782C71"/>
    <w:rsid w:val="00783AE8"/>
    <w:rsid w:val="00783E27"/>
    <w:rsid w:val="0078448D"/>
    <w:rsid w:val="007846F6"/>
    <w:rsid w:val="007851AB"/>
    <w:rsid w:val="00785482"/>
    <w:rsid w:val="00785DE8"/>
    <w:rsid w:val="00785EC6"/>
    <w:rsid w:val="00786052"/>
    <w:rsid w:val="00786A8D"/>
    <w:rsid w:val="00786DED"/>
    <w:rsid w:val="0078727C"/>
    <w:rsid w:val="00787E4E"/>
    <w:rsid w:val="0079049D"/>
    <w:rsid w:val="00790F4C"/>
    <w:rsid w:val="00793504"/>
    <w:rsid w:val="00793A53"/>
    <w:rsid w:val="00793CCC"/>
    <w:rsid w:val="00793E48"/>
    <w:rsid w:val="00794590"/>
    <w:rsid w:val="0079664E"/>
    <w:rsid w:val="007A0634"/>
    <w:rsid w:val="007A2383"/>
    <w:rsid w:val="007A3872"/>
    <w:rsid w:val="007A5735"/>
    <w:rsid w:val="007A72E5"/>
    <w:rsid w:val="007A7D45"/>
    <w:rsid w:val="007B18D8"/>
    <w:rsid w:val="007B3472"/>
    <w:rsid w:val="007B5408"/>
    <w:rsid w:val="007B579C"/>
    <w:rsid w:val="007B5C20"/>
    <w:rsid w:val="007B7D44"/>
    <w:rsid w:val="007C076D"/>
    <w:rsid w:val="007C095F"/>
    <w:rsid w:val="007C1897"/>
    <w:rsid w:val="007C2012"/>
    <w:rsid w:val="007C2977"/>
    <w:rsid w:val="007C378F"/>
    <w:rsid w:val="007C67D2"/>
    <w:rsid w:val="007C77C4"/>
    <w:rsid w:val="007D107C"/>
    <w:rsid w:val="007D1FD5"/>
    <w:rsid w:val="007D309E"/>
    <w:rsid w:val="007D3480"/>
    <w:rsid w:val="007D40D6"/>
    <w:rsid w:val="007D4B38"/>
    <w:rsid w:val="007D56B9"/>
    <w:rsid w:val="007D5BED"/>
    <w:rsid w:val="007D5EF6"/>
    <w:rsid w:val="007D692E"/>
    <w:rsid w:val="007D6F37"/>
    <w:rsid w:val="007D7D25"/>
    <w:rsid w:val="007E0EC5"/>
    <w:rsid w:val="007E0F38"/>
    <w:rsid w:val="007E1894"/>
    <w:rsid w:val="007E4556"/>
    <w:rsid w:val="007E457A"/>
    <w:rsid w:val="007E515A"/>
    <w:rsid w:val="007F01E1"/>
    <w:rsid w:val="007F04EE"/>
    <w:rsid w:val="007F14AD"/>
    <w:rsid w:val="007F31EB"/>
    <w:rsid w:val="007F448E"/>
    <w:rsid w:val="007F5337"/>
    <w:rsid w:val="007F7268"/>
    <w:rsid w:val="007F7342"/>
    <w:rsid w:val="008002C3"/>
    <w:rsid w:val="00800D57"/>
    <w:rsid w:val="008028A4"/>
    <w:rsid w:val="0080333D"/>
    <w:rsid w:val="00804321"/>
    <w:rsid w:val="0080466A"/>
    <w:rsid w:val="00805E0B"/>
    <w:rsid w:val="00806310"/>
    <w:rsid w:val="00812B0C"/>
    <w:rsid w:val="00813245"/>
    <w:rsid w:val="0081363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3C42"/>
    <w:rsid w:val="008343D1"/>
    <w:rsid w:val="00834604"/>
    <w:rsid w:val="00834A6D"/>
    <w:rsid w:val="00845E80"/>
    <w:rsid w:val="008461F0"/>
    <w:rsid w:val="0084763A"/>
    <w:rsid w:val="00850942"/>
    <w:rsid w:val="00850BBB"/>
    <w:rsid w:val="00854A4F"/>
    <w:rsid w:val="00856127"/>
    <w:rsid w:val="0085698E"/>
    <w:rsid w:val="008571AD"/>
    <w:rsid w:val="00857756"/>
    <w:rsid w:val="00860820"/>
    <w:rsid w:val="00860D01"/>
    <w:rsid w:val="00862701"/>
    <w:rsid w:val="008627AB"/>
    <w:rsid w:val="0086528E"/>
    <w:rsid w:val="00867635"/>
    <w:rsid w:val="00867D0B"/>
    <w:rsid w:val="00867F46"/>
    <w:rsid w:val="00870B46"/>
    <w:rsid w:val="0087195E"/>
    <w:rsid w:val="00872955"/>
    <w:rsid w:val="00873320"/>
    <w:rsid w:val="00874665"/>
    <w:rsid w:val="008765A4"/>
    <w:rsid w:val="008768CA"/>
    <w:rsid w:val="00877180"/>
    <w:rsid w:val="008773D4"/>
    <w:rsid w:val="00877EF9"/>
    <w:rsid w:val="00880559"/>
    <w:rsid w:val="00880FF7"/>
    <w:rsid w:val="008811ED"/>
    <w:rsid w:val="00881CEB"/>
    <w:rsid w:val="00881E51"/>
    <w:rsid w:val="00882AE0"/>
    <w:rsid w:val="00882C69"/>
    <w:rsid w:val="00884F4E"/>
    <w:rsid w:val="00886422"/>
    <w:rsid w:val="00887C52"/>
    <w:rsid w:val="008916F0"/>
    <w:rsid w:val="00892B1C"/>
    <w:rsid w:val="00893663"/>
    <w:rsid w:val="00894069"/>
    <w:rsid w:val="00895302"/>
    <w:rsid w:val="008A07BA"/>
    <w:rsid w:val="008A15D5"/>
    <w:rsid w:val="008A203C"/>
    <w:rsid w:val="008A27FC"/>
    <w:rsid w:val="008A2D12"/>
    <w:rsid w:val="008A4B3B"/>
    <w:rsid w:val="008B0676"/>
    <w:rsid w:val="008B0B57"/>
    <w:rsid w:val="008B192A"/>
    <w:rsid w:val="008B44F1"/>
    <w:rsid w:val="008B5306"/>
    <w:rsid w:val="008B58FB"/>
    <w:rsid w:val="008B6229"/>
    <w:rsid w:val="008B63D7"/>
    <w:rsid w:val="008B681A"/>
    <w:rsid w:val="008B6BD2"/>
    <w:rsid w:val="008C0E06"/>
    <w:rsid w:val="008C1A63"/>
    <w:rsid w:val="008C20F7"/>
    <w:rsid w:val="008C35C7"/>
    <w:rsid w:val="008C3998"/>
    <w:rsid w:val="008C3BFE"/>
    <w:rsid w:val="008C3F92"/>
    <w:rsid w:val="008C42B8"/>
    <w:rsid w:val="008C7888"/>
    <w:rsid w:val="008D0069"/>
    <w:rsid w:val="008D039A"/>
    <w:rsid w:val="008D05CE"/>
    <w:rsid w:val="008D0839"/>
    <w:rsid w:val="008D1CD5"/>
    <w:rsid w:val="008D2258"/>
    <w:rsid w:val="008D467A"/>
    <w:rsid w:val="008E131E"/>
    <w:rsid w:val="008E28DF"/>
    <w:rsid w:val="008E345E"/>
    <w:rsid w:val="008E3B19"/>
    <w:rsid w:val="008E412B"/>
    <w:rsid w:val="008F1491"/>
    <w:rsid w:val="008F192E"/>
    <w:rsid w:val="008F2039"/>
    <w:rsid w:val="008F2BF7"/>
    <w:rsid w:val="008F2D01"/>
    <w:rsid w:val="008F2E9A"/>
    <w:rsid w:val="008F5153"/>
    <w:rsid w:val="008F595B"/>
    <w:rsid w:val="00901335"/>
    <w:rsid w:val="0090187C"/>
    <w:rsid w:val="009024E8"/>
    <w:rsid w:val="0090271F"/>
    <w:rsid w:val="00902DB9"/>
    <w:rsid w:val="0090466A"/>
    <w:rsid w:val="009062D3"/>
    <w:rsid w:val="00907DD2"/>
    <w:rsid w:val="009117E5"/>
    <w:rsid w:val="00911A3A"/>
    <w:rsid w:val="00911DEA"/>
    <w:rsid w:val="009122BF"/>
    <w:rsid w:val="00912CD4"/>
    <w:rsid w:val="00913267"/>
    <w:rsid w:val="009136CD"/>
    <w:rsid w:val="00917ABE"/>
    <w:rsid w:val="0092024A"/>
    <w:rsid w:val="00921F58"/>
    <w:rsid w:val="00922DC1"/>
    <w:rsid w:val="0092322B"/>
    <w:rsid w:val="00923CF4"/>
    <w:rsid w:val="00924D2C"/>
    <w:rsid w:val="009252BA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5B30"/>
    <w:rsid w:val="0094798C"/>
    <w:rsid w:val="00952A0E"/>
    <w:rsid w:val="0095306B"/>
    <w:rsid w:val="0095382B"/>
    <w:rsid w:val="009540CA"/>
    <w:rsid w:val="00955470"/>
    <w:rsid w:val="00956A9D"/>
    <w:rsid w:val="00957D2B"/>
    <w:rsid w:val="00957E6F"/>
    <w:rsid w:val="00961B32"/>
    <w:rsid w:val="00962174"/>
    <w:rsid w:val="0096246C"/>
    <w:rsid w:val="0096294B"/>
    <w:rsid w:val="0096408F"/>
    <w:rsid w:val="00964344"/>
    <w:rsid w:val="009648F8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77921"/>
    <w:rsid w:val="0098205E"/>
    <w:rsid w:val="00982EBC"/>
    <w:rsid w:val="00983387"/>
    <w:rsid w:val="00983F29"/>
    <w:rsid w:val="00984778"/>
    <w:rsid w:val="00984CEB"/>
    <w:rsid w:val="009851DF"/>
    <w:rsid w:val="00985778"/>
    <w:rsid w:val="009859BF"/>
    <w:rsid w:val="009871BA"/>
    <w:rsid w:val="009877F1"/>
    <w:rsid w:val="00990913"/>
    <w:rsid w:val="00991EA8"/>
    <w:rsid w:val="00992D3A"/>
    <w:rsid w:val="00993C96"/>
    <w:rsid w:val="00993EBD"/>
    <w:rsid w:val="00994003"/>
    <w:rsid w:val="009951D6"/>
    <w:rsid w:val="00995433"/>
    <w:rsid w:val="00995C57"/>
    <w:rsid w:val="00996146"/>
    <w:rsid w:val="009A0AF3"/>
    <w:rsid w:val="009A1A7C"/>
    <w:rsid w:val="009A1E95"/>
    <w:rsid w:val="009A36A2"/>
    <w:rsid w:val="009A443C"/>
    <w:rsid w:val="009A50C5"/>
    <w:rsid w:val="009A560E"/>
    <w:rsid w:val="009A7362"/>
    <w:rsid w:val="009A7D57"/>
    <w:rsid w:val="009A7F1A"/>
    <w:rsid w:val="009B000F"/>
    <w:rsid w:val="009B07CD"/>
    <w:rsid w:val="009B113E"/>
    <w:rsid w:val="009B16DE"/>
    <w:rsid w:val="009B1D41"/>
    <w:rsid w:val="009B2074"/>
    <w:rsid w:val="009B5F69"/>
    <w:rsid w:val="009B5FDC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68"/>
    <w:rsid w:val="009D5E99"/>
    <w:rsid w:val="009D63AB"/>
    <w:rsid w:val="009D7755"/>
    <w:rsid w:val="009E02F3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4BBB"/>
    <w:rsid w:val="009F4C6A"/>
    <w:rsid w:val="009F7E84"/>
    <w:rsid w:val="00A0150D"/>
    <w:rsid w:val="00A03B42"/>
    <w:rsid w:val="00A05DE2"/>
    <w:rsid w:val="00A067FE"/>
    <w:rsid w:val="00A069FE"/>
    <w:rsid w:val="00A07269"/>
    <w:rsid w:val="00A10F02"/>
    <w:rsid w:val="00A11888"/>
    <w:rsid w:val="00A13112"/>
    <w:rsid w:val="00A14E25"/>
    <w:rsid w:val="00A15FB2"/>
    <w:rsid w:val="00A1670F"/>
    <w:rsid w:val="00A204CA"/>
    <w:rsid w:val="00A207D2"/>
    <w:rsid w:val="00A215F6"/>
    <w:rsid w:val="00A23966"/>
    <w:rsid w:val="00A23AC0"/>
    <w:rsid w:val="00A242F5"/>
    <w:rsid w:val="00A24741"/>
    <w:rsid w:val="00A25A22"/>
    <w:rsid w:val="00A26593"/>
    <w:rsid w:val="00A300A0"/>
    <w:rsid w:val="00A30E3E"/>
    <w:rsid w:val="00A31278"/>
    <w:rsid w:val="00A31AB2"/>
    <w:rsid w:val="00A31D17"/>
    <w:rsid w:val="00A32493"/>
    <w:rsid w:val="00A32E13"/>
    <w:rsid w:val="00A34086"/>
    <w:rsid w:val="00A35830"/>
    <w:rsid w:val="00A36439"/>
    <w:rsid w:val="00A41503"/>
    <w:rsid w:val="00A423AE"/>
    <w:rsid w:val="00A43919"/>
    <w:rsid w:val="00A43A2E"/>
    <w:rsid w:val="00A44AE9"/>
    <w:rsid w:val="00A45665"/>
    <w:rsid w:val="00A5155E"/>
    <w:rsid w:val="00A516F2"/>
    <w:rsid w:val="00A52986"/>
    <w:rsid w:val="00A52CC6"/>
    <w:rsid w:val="00A53374"/>
    <w:rsid w:val="00A53724"/>
    <w:rsid w:val="00A540D2"/>
    <w:rsid w:val="00A54875"/>
    <w:rsid w:val="00A55549"/>
    <w:rsid w:val="00A566A2"/>
    <w:rsid w:val="00A60A82"/>
    <w:rsid w:val="00A612CF"/>
    <w:rsid w:val="00A62BFC"/>
    <w:rsid w:val="00A6496B"/>
    <w:rsid w:val="00A65425"/>
    <w:rsid w:val="00A65C1F"/>
    <w:rsid w:val="00A66990"/>
    <w:rsid w:val="00A71855"/>
    <w:rsid w:val="00A718DA"/>
    <w:rsid w:val="00A7247E"/>
    <w:rsid w:val="00A73886"/>
    <w:rsid w:val="00A743AC"/>
    <w:rsid w:val="00A7467C"/>
    <w:rsid w:val="00A74826"/>
    <w:rsid w:val="00A74C06"/>
    <w:rsid w:val="00A74F0F"/>
    <w:rsid w:val="00A7526F"/>
    <w:rsid w:val="00A75305"/>
    <w:rsid w:val="00A753E1"/>
    <w:rsid w:val="00A77F59"/>
    <w:rsid w:val="00A80334"/>
    <w:rsid w:val="00A80AEF"/>
    <w:rsid w:val="00A82346"/>
    <w:rsid w:val="00A825BF"/>
    <w:rsid w:val="00A845B8"/>
    <w:rsid w:val="00A85BB3"/>
    <w:rsid w:val="00A87209"/>
    <w:rsid w:val="00A87977"/>
    <w:rsid w:val="00A954D8"/>
    <w:rsid w:val="00A9671C"/>
    <w:rsid w:val="00A9769E"/>
    <w:rsid w:val="00A97749"/>
    <w:rsid w:val="00AA1553"/>
    <w:rsid w:val="00AA423E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1C2D"/>
    <w:rsid w:val="00AB27C6"/>
    <w:rsid w:val="00AB30C1"/>
    <w:rsid w:val="00AB4F3D"/>
    <w:rsid w:val="00AB504B"/>
    <w:rsid w:val="00AB5A5A"/>
    <w:rsid w:val="00AB71C6"/>
    <w:rsid w:val="00AB7EA2"/>
    <w:rsid w:val="00AC0234"/>
    <w:rsid w:val="00AC1E31"/>
    <w:rsid w:val="00AC26C2"/>
    <w:rsid w:val="00AC3E63"/>
    <w:rsid w:val="00AC4320"/>
    <w:rsid w:val="00AC53FE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A32"/>
    <w:rsid w:val="00AE5998"/>
    <w:rsid w:val="00AE59EB"/>
    <w:rsid w:val="00AE5A3F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6272"/>
    <w:rsid w:val="00B002EA"/>
    <w:rsid w:val="00B0205B"/>
    <w:rsid w:val="00B024E5"/>
    <w:rsid w:val="00B033FA"/>
    <w:rsid w:val="00B0343F"/>
    <w:rsid w:val="00B0429A"/>
    <w:rsid w:val="00B046A0"/>
    <w:rsid w:val="00B0648D"/>
    <w:rsid w:val="00B07AAA"/>
    <w:rsid w:val="00B10754"/>
    <w:rsid w:val="00B1153A"/>
    <w:rsid w:val="00B11743"/>
    <w:rsid w:val="00B1192D"/>
    <w:rsid w:val="00B11CB0"/>
    <w:rsid w:val="00B12BDF"/>
    <w:rsid w:val="00B133ED"/>
    <w:rsid w:val="00B15449"/>
    <w:rsid w:val="00B154C9"/>
    <w:rsid w:val="00B15627"/>
    <w:rsid w:val="00B15ADA"/>
    <w:rsid w:val="00B15F4A"/>
    <w:rsid w:val="00B1608D"/>
    <w:rsid w:val="00B1608F"/>
    <w:rsid w:val="00B2397F"/>
    <w:rsid w:val="00B2470F"/>
    <w:rsid w:val="00B2755F"/>
    <w:rsid w:val="00B30ADA"/>
    <w:rsid w:val="00B3285A"/>
    <w:rsid w:val="00B331AE"/>
    <w:rsid w:val="00B359B7"/>
    <w:rsid w:val="00B36BDD"/>
    <w:rsid w:val="00B37690"/>
    <w:rsid w:val="00B40C67"/>
    <w:rsid w:val="00B42667"/>
    <w:rsid w:val="00B444B8"/>
    <w:rsid w:val="00B4746E"/>
    <w:rsid w:val="00B476BB"/>
    <w:rsid w:val="00B47CB2"/>
    <w:rsid w:val="00B47FD1"/>
    <w:rsid w:val="00B516BB"/>
    <w:rsid w:val="00B51B0A"/>
    <w:rsid w:val="00B5205D"/>
    <w:rsid w:val="00B54665"/>
    <w:rsid w:val="00B548D7"/>
    <w:rsid w:val="00B61417"/>
    <w:rsid w:val="00B62989"/>
    <w:rsid w:val="00B633C3"/>
    <w:rsid w:val="00B63A3E"/>
    <w:rsid w:val="00B6406E"/>
    <w:rsid w:val="00B642B6"/>
    <w:rsid w:val="00B650FB"/>
    <w:rsid w:val="00B654A9"/>
    <w:rsid w:val="00B65E42"/>
    <w:rsid w:val="00B6646D"/>
    <w:rsid w:val="00B6737A"/>
    <w:rsid w:val="00B701A0"/>
    <w:rsid w:val="00B72CC9"/>
    <w:rsid w:val="00B73D0C"/>
    <w:rsid w:val="00B74842"/>
    <w:rsid w:val="00B74896"/>
    <w:rsid w:val="00B751DC"/>
    <w:rsid w:val="00B76F24"/>
    <w:rsid w:val="00B8019B"/>
    <w:rsid w:val="00B82DD7"/>
    <w:rsid w:val="00B83486"/>
    <w:rsid w:val="00B83F9A"/>
    <w:rsid w:val="00B844A5"/>
    <w:rsid w:val="00B8480F"/>
    <w:rsid w:val="00B8493D"/>
    <w:rsid w:val="00B84B18"/>
    <w:rsid w:val="00B86A6B"/>
    <w:rsid w:val="00B8739B"/>
    <w:rsid w:val="00B912B1"/>
    <w:rsid w:val="00B931D9"/>
    <w:rsid w:val="00B95D11"/>
    <w:rsid w:val="00B96CCF"/>
    <w:rsid w:val="00B97181"/>
    <w:rsid w:val="00B97C71"/>
    <w:rsid w:val="00B97CBC"/>
    <w:rsid w:val="00B97CF4"/>
    <w:rsid w:val="00BA2ABC"/>
    <w:rsid w:val="00BA3230"/>
    <w:rsid w:val="00BA37B5"/>
    <w:rsid w:val="00BA3913"/>
    <w:rsid w:val="00BA601F"/>
    <w:rsid w:val="00BA6B3D"/>
    <w:rsid w:val="00BA7DC7"/>
    <w:rsid w:val="00BA7FDD"/>
    <w:rsid w:val="00BB1117"/>
    <w:rsid w:val="00BB1993"/>
    <w:rsid w:val="00BB1D64"/>
    <w:rsid w:val="00BB414D"/>
    <w:rsid w:val="00BB43AC"/>
    <w:rsid w:val="00BB4C0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41B5"/>
    <w:rsid w:val="00BC5A4D"/>
    <w:rsid w:val="00BC7783"/>
    <w:rsid w:val="00BD06D1"/>
    <w:rsid w:val="00BD091C"/>
    <w:rsid w:val="00BD1631"/>
    <w:rsid w:val="00BD31D3"/>
    <w:rsid w:val="00BD55FC"/>
    <w:rsid w:val="00BD6273"/>
    <w:rsid w:val="00BD67B1"/>
    <w:rsid w:val="00BE1D51"/>
    <w:rsid w:val="00BE3836"/>
    <w:rsid w:val="00BE5261"/>
    <w:rsid w:val="00BE664B"/>
    <w:rsid w:val="00BE7500"/>
    <w:rsid w:val="00BE7B3F"/>
    <w:rsid w:val="00BF4416"/>
    <w:rsid w:val="00BF449E"/>
    <w:rsid w:val="00BF46D7"/>
    <w:rsid w:val="00BF5561"/>
    <w:rsid w:val="00BF630D"/>
    <w:rsid w:val="00BF6EB6"/>
    <w:rsid w:val="00BF7DBE"/>
    <w:rsid w:val="00C017F5"/>
    <w:rsid w:val="00C03D2D"/>
    <w:rsid w:val="00C042E6"/>
    <w:rsid w:val="00C048ED"/>
    <w:rsid w:val="00C07B22"/>
    <w:rsid w:val="00C07D96"/>
    <w:rsid w:val="00C10DF1"/>
    <w:rsid w:val="00C11801"/>
    <w:rsid w:val="00C12B51"/>
    <w:rsid w:val="00C13DC1"/>
    <w:rsid w:val="00C15264"/>
    <w:rsid w:val="00C15795"/>
    <w:rsid w:val="00C161AD"/>
    <w:rsid w:val="00C16357"/>
    <w:rsid w:val="00C164EF"/>
    <w:rsid w:val="00C17978"/>
    <w:rsid w:val="00C2032B"/>
    <w:rsid w:val="00C208E2"/>
    <w:rsid w:val="00C20E9C"/>
    <w:rsid w:val="00C230AE"/>
    <w:rsid w:val="00C235C7"/>
    <w:rsid w:val="00C23FA7"/>
    <w:rsid w:val="00C24650"/>
    <w:rsid w:val="00C2597A"/>
    <w:rsid w:val="00C25AAF"/>
    <w:rsid w:val="00C269A3"/>
    <w:rsid w:val="00C27752"/>
    <w:rsid w:val="00C27B36"/>
    <w:rsid w:val="00C31C47"/>
    <w:rsid w:val="00C32347"/>
    <w:rsid w:val="00C33079"/>
    <w:rsid w:val="00C330DF"/>
    <w:rsid w:val="00C333E9"/>
    <w:rsid w:val="00C3438B"/>
    <w:rsid w:val="00C346B5"/>
    <w:rsid w:val="00C34F52"/>
    <w:rsid w:val="00C354F8"/>
    <w:rsid w:val="00C37FDE"/>
    <w:rsid w:val="00C4025B"/>
    <w:rsid w:val="00C41500"/>
    <w:rsid w:val="00C42782"/>
    <w:rsid w:val="00C43926"/>
    <w:rsid w:val="00C4443E"/>
    <w:rsid w:val="00C4610A"/>
    <w:rsid w:val="00C465BE"/>
    <w:rsid w:val="00C47A66"/>
    <w:rsid w:val="00C47D2D"/>
    <w:rsid w:val="00C47F3D"/>
    <w:rsid w:val="00C51D27"/>
    <w:rsid w:val="00C51FBD"/>
    <w:rsid w:val="00C54E61"/>
    <w:rsid w:val="00C54EE4"/>
    <w:rsid w:val="00C556FB"/>
    <w:rsid w:val="00C614CA"/>
    <w:rsid w:val="00C614FA"/>
    <w:rsid w:val="00C62547"/>
    <w:rsid w:val="00C6309C"/>
    <w:rsid w:val="00C63220"/>
    <w:rsid w:val="00C6391F"/>
    <w:rsid w:val="00C64E2F"/>
    <w:rsid w:val="00C64F82"/>
    <w:rsid w:val="00C65F6D"/>
    <w:rsid w:val="00C65FAE"/>
    <w:rsid w:val="00C67E50"/>
    <w:rsid w:val="00C7087A"/>
    <w:rsid w:val="00C709E8"/>
    <w:rsid w:val="00C72837"/>
    <w:rsid w:val="00C748E5"/>
    <w:rsid w:val="00C74A7B"/>
    <w:rsid w:val="00C768BB"/>
    <w:rsid w:val="00C773BD"/>
    <w:rsid w:val="00C81361"/>
    <w:rsid w:val="00C8235D"/>
    <w:rsid w:val="00C8253A"/>
    <w:rsid w:val="00C8368A"/>
    <w:rsid w:val="00C83A13"/>
    <w:rsid w:val="00C844E3"/>
    <w:rsid w:val="00C9022A"/>
    <w:rsid w:val="00C903F3"/>
    <w:rsid w:val="00C9068C"/>
    <w:rsid w:val="00C91051"/>
    <w:rsid w:val="00C9285D"/>
    <w:rsid w:val="00C92967"/>
    <w:rsid w:val="00C9499A"/>
    <w:rsid w:val="00C97DD9"/>
    <w:rsid w:val="00CA061E"/>
    <w:rsid w:val="00CA0C6F"/>
    <w:rsid w:val="00CA160C"/>
    <w:rsid w:val="00CA3D0C"/>
    <w:rsid w:val="00CA4CC4"/>
    <w:rsid w:val="00CA55A2"/>
    <w:rsid w:val="00CA6073"/>
    <w:rsid w:val="00CA60FE"/>
    <w:rsid w:val="00CA654B"/>
    <w:rsid w:val="00CA742A"/>
    <w:rsid w:val="00CA7FB5"/>
    <w:rsid w:val="00CB0611"/>
    <w:rsid w:val="00CB1831"/>
    <w:rsid w:val="00CB192D"/>
    <w:rsid w:val="00CB20EE"/>
    <w:rsid w:val="00CB24EA"/>
    <w:rsid w:val="00CB474B"/>
    <w:rsid w:val="00CC05BA"/>
    <w:rsid w:val="00CC365E"/>
    <w:rsid w:val="00CC49EB"/>
    <w:rsid w:val="00CD0243"/>
    <w:rsid w:val="00CD0FA0"/>
    <w:rsid w:val="00CD1CFE"/>
    <w:rsid w:val="00CD3E58"/>
    <w:rsid w:val="00CD4A61"/>
    <w:rsid w:val="00CD4C7B"/>
    <w:rsid w:val="00CD6310"/>
    <w:rsid w:val="00CD6435"/>
    <w:rsid w:val="00CE054B"/>
    <w:rsid w:val="00CE1698"/>
    <w:rsid w:val="00CE3213"/>
    <w:rsid w:val="00CE3BD1"/>
    <w:rsid w:val="00CE3E5A"/>
    <w:rsid w:val="00CE44E7"/>
    <w:rsid w:val="00CE476C"/>
    <w:rsid w:val="00CF07F5"/>
    <w:rsid w:val="00CF2C9F"/>
    <w:rsid w:val="00CF5B76"/>
    <w:rsid w:val="00CF6F95"/>
    <w:rsid w:val="00CF77AE"/>
    <w:rsid w:val="00D00174"/>
    <w:rsid w:val="00D04103"/>
    <w:rsid w:val="00D048E7"/>
    <w:rsid w:val="00D05C9E"/>
    <w:rsid w:val="00D10543"/>
    <w:rsid w:val="00D133BA"/>
    <w:rsid w:val="00D13DB0"/>
    <w:rsid w:val="00D17528"/>
    <w:rsid w:val="00D20104"/>
    <w:rsid w:val="00D20E7D"/>
    <w:rsid w:val="00D22798"/>
    <w:rsid w:val="00D23786"/>
    <w:rsid w:val="00D247B5"/>
    <w:rsid w:val="00D2687C"/>
    <w:rsid w:val="00D269D7"/>
    <w:rsid w:val="00D26AA2"/>
    <w:rsid w:val="00D27E3D"/>
    <w:rsid w:val="00D3258F"/>
    <w:rsid w:val="00D33118"/>
    <w:rsid w:val="00D34B1E"/>
    <w:rsid w:val="00D402F5"/>
    <w:rsid w:val="00D4120E"/>
    <w:rsid w:val="00D41585"/>
    <w:rsid w:val="00D42844"/>
    <w:rsid w:val="00D43109"/>
    <w:rsid w:val="00D43EBA"/>
    <w:rsid w:val="00D44328"/>
    <w:rsid w:val="00D450E9"/>
    <w:rsid w:val="00D50FAB"/>
    <w:rsid w:val="00D543B4"/>
    <w:rsid w:val="00D548D7"/>
    <w:rsid w:val="00D54EF9"/>
    <w:rsid w:val="00D5646F"/>
    <w:rsid w:val="00D56E13"/>
    <w:rsid w:val="00D57B51"/>
    <w:rsid w:val="00D62E82"/>
    <w:rsid w:val="00D63BB4"/>
    <w:rsid w:val="00D64A86"/>
    <w:rsid w:val="00D64B2D"/>
    <w:rsid w:val="00D66F34"/>
    <w:rsid w:val="00D679C7"/>
    <w:rsid w:val="00D72B17"/>
    <w:rsid w:val="00D738D6"/>
    <w:rsid w:val="00D742F4"/>
    <w:rsid w:val="00D75638"/>
    <w:rsid w:val="00D76CCE"/>
    <w:rsid w:val="00D80795"/>
    <w:rsid w:val="00D8089E"/>
    <w:rsid w:val="00D80F5E"/>
    <w:rsid w:val="00D825EB"/>
    <w:rsid w:val="00D8292C"/>
    <w:rsid w:val="00D840F9"/>
    <w:rsid w:val="00D8694E"/>
    <w:rsid w:val="00D870B2"/>
    <w:rsid w:val="00D87A08"/>
    <w:rsid w:val="00D87E00"/>
    <w:rsid w:val="00D90B96"/>
    <w:rsid w:val="00D9134D"/>
    <w:rsid w:val="00D91BCA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3841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CA9"/>
    <w:rsid w:val="00DB6E8D"/>
    <w:rsid w:val="00DB72F8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102D"/>
    <w:rsid w:val="00DD12FD"/>
    <w:rsid w:val="00DD1D88"/>
    <w:rsid w:val="00DD36F4"/>
    <w:rsid w:val="00DD43BA"/>
    <w:rsid w:val="00DD70FA"/>
    <w:rsid w:val="00DD722F"/>
    <w:rsid w:val="00DD7DCC"/>
    <w:rsid w:val="00DE0D91"/>
    <w:rsid w:val="00DE17D1"/>
    <w:rsid w:val="00DE2CFC"/>
    <w:rsid w:val="00DE44B0"/>
    <w:rsid w:val="00DE4A98"/>
    <w:rsid w:val="00DE56A5"/>
    <w:rsid w:val="00DE63F7"/>
    <w:rsid w:val="00DE6DD1"/>
    <w:rsid w:val="00DF0433"/>
    <w:rsid w:val="00DF08B7"/>
    <w:rsid w:val="00DF2B7B"/>
    <w:rsid w:val="00DF5B0C"/>
    <w:rsid w:val="00DF5CFB"/>
    <w:rsid w:val="00E00CB1"/>
    <w:rsid w:val="00E01445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11CC3"/>
    <w:rsid w:val="00E12543"/>
    <w:rsid w:val="00E12C7B"/>
    <w:rsid w:val="00E1376C"/>
    <w:rsid w:val="00E157BC"/>
    <w:rsid w:val="00E203E1"/>
    <w:rsid w:val="00E22C95"/>
    <w:rsid w:val="00E23537"/>
    <w:rsid w:val="00E23ADB"/>
    <w:rsid w:val="00E25BEF"/>
    <w:rsid w:val="00E25C19"/>
    <w:rsid w:val="00E307FC"/>
    <w:rsid w:val="00E309D3"/>
    <w:rsid w:val="00E313B9"/>
    <w:rsid w:val="00E31932"/>
    <w:rsid w:val="00E31E89"/>
    <w:rsid w:val="00E32798"/>
    <w:rsid w:val="00E33147"/>
    <w:rsid w:val="00E3345D"/>
    <w:rsid w:val="00E34168"/>
    <w:rsid w:val="00E35793"/>
    <w:rsid w:val="00E36407"/>
    <w:rsid w:val="00E4026E"/>
    <w:rsid w:val="00E40E41"/>
    <w:rsid w:val="00E4271E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312"/>
    <w:rsid w:val="00E60CAF"/>
    <w:rsid w:val="00E61B39"/>
    <w:rsid w:val="00E62835"/>
    <w:rsid w:val="00E63923"/>
    <w:rsid w:val="00E64523"/>
    <w:rsid w:val="00E6528D"/>
    <w:rsid w:val="00E6683D"/>
    <w:rsid w:val="00E66B0B"/>
    <w:rsid w:val="00E7041F"/>
    <w:rsid w:val="00E70A06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697"/>
    <w:rsid w:val="00E83810"/>
    <w:rsid w:val="00E854D4"/>
    <w:rsid w:val="00E854EE"/>
    <w:rsid w:val="00E858CD"/>
    <w:rsid w:val="00E870A0"/>
    <w:rsid w:val="00E91487"/>
    <w:rsid w:val="00E91DDC"/>
    <w:rsid w:val="00E925C9"/>
    <w:rsid w:val="00E9444B"/>
    <w:rsid w:val="00E94C85"/>
    <w:rsid w:val="00E96358"/>
    <w:rsid w:val="00EA0AAF"/>
    <w:rsid w:val="00EA1745"/>
    <w:rsid w:val="00EA1DC3"/>
    <w:rsid w:val="00EA1ED6"/>
    <w:rsid w:val="00EA6CB4"/>
    <w:rsid w:val="00EB28EE"/>
    <w:rsid w:val="00EB2AF5"/>
    <w:rsid w:val="00EB4566"/>
    <w:rsid w:val="00EB4E5D"/>
    <w:rsid w:val="00EB564C"/>
    <w:rsid w:val="00EB7699"/>
    <w:rsid w:val="00EC0A52"/>
    <w:rsid w:val="00EC39EB"/>
    <w:rsid w:val="00EC4068"/>
    <w:rsid w:val="00EC44C4"/>
    <w:rsid w:val="00EC457E"/>
    <w:rsid w:val="00EC464F"/>
    <w:rsid w:val="00EC4A25"/>
    <w:rsid w:val="00EC5873"/>
    <w:rsid w:val="00EC5DC4"/>
    <w:rsid w:val="00EC6A06"/>
    <w:rsid w:val="00EC717A"/>
    <w:rsid w:val="00ED09BF"/>
    <w:rsid w:val="00ED128B"/>
    <w:rsid w:val="00ED1D93"/>
    <w:rsid w:val="00ED20B1"/>
    <w:rsid w:val="00ED43A5"/>
    <w:rsid w:val="00ED6113"/>
    <w:rsid w:val="00EE13CF"/>
    <w:rsid w:val="00EE1512"/>
    <w:rsid w:val="00EE217F"/>
    <w:rsid w:val="00EE4120"/>
    <w:rsid w:val="00EE44AD"/>
    <w:rsid w:val="00EE4F4E"/>
    <w:rsid w:val="00EE7D61"/>
    <w:rsid w:val="00EF1E0A"/>
    <w:rsid w:val="00EF267F"/>
    <w:rsid w:val="00EF2F1F"/>
    <w:rsid w:val="00EF32AE"/>
    <w:rsid w:val="00EF4E32"/>
    <w:rsid w:val="00EF4F9C"/>
    <w:rsid w:val="00EF550E"/>
    <w:rsid w:val="00EF783B"/>
    <w:rsid w:val="00F025A2"/>
    <w:rsid w:val="00F04C08"/>
    <w:rsid w:val="00F04C45"/>
    <w:rsid w:val="00F054BA"/>
    <w:rsid w:val="00F05D71"/>
    <w:rsid w:val="00F06BBB"/>
    <w:rsid w:val="00F06F0B"/>
    <w:rsid w:val="00F07388"/>
    <w:rsid w:val="00F07FD6"/>
    <w:rsid w:val="00F11D6B"/>
    <w:rsid w:val="00F12B8B"/>
    <w:rsid w:val="00F139F4"/>
    <w:rsid w:val="00F17066"/>
    <w:rsid w:val="00F2026E"/>
    <w:rsid w:val="00F20B49"/>
    <w:rsid w:val="00F20C7B"/>
    <w:rsid w:val="00F2210A"/>
    <w:rsid w:val="00F24379"/>
    <w:rsid w:val="00F24ADE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732"/>
    <w:rsid w:val="00F42B86"/>
    <w:rsid w:val="00F4352F"/>
    <w:rsid w:val="00F44FCE"/>
    <w:rsid w:val="00F4537F"/>
    <w:rsid w:val="00F4563A"/>
    <w:rsid w:val="00F47078"/>
    <w:rsid w:val="00F4731F"/>
    <w:rsid w:val="00F52DBE"/>
    <w:rsid w:val="00F53AAD"/>
    <w:rsid w:val="00F5490A"/>
    <w:rsid w:val="00F54A3D"/>
    <w:rsid w:val="00F54F7D"/>
    <w:rsid w:val="00F57BF9"/>
    <w:rsid w:val="00F61CE2"/>
    <w:rsid w:val="00F62456"/>
    <w:rsid w:val="00F64C8F"/>
    <w:rsid w:val="00F653B8"/>
    <w:rsid w:val="00F66E5B"/>
    <w:rsid w:val="00F67BB8"/>
    <w:rsid w:val="00F705E6"/>
    <w:rsid w:val="00F70B51"/>
    <w:rsid w:val="00F71B89"/>
    <w:rsid w:val="00F7353C"/>
    <w:rsid w:val="00F75B5F"/>
    <w:rsid w:val="00F76050"/>
    <w:rsid w:val="00F76752"/>
    <w:rsid w:val="00F76F8F"/>
    <w:rsid w:val="00F777E4"/>
    <w:rsid w:val="00F80586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0F4F"/>
    <w:rsid w:val="00F941A4"/>
    <w:rsid w:val="00F97D6E"/>
    <w:rsid w:val="00FA0274"/>
    <w:rsid w:val="00FA0D44"/>
    <w:rsid w:val="00FA0E97"/>
    <w:rsid w:val="00FA1266"/>
    <w:rsid w:val="00FA1C5C"/>
    <w:rsid w:val="00FA2EA8"/>
    <w:rsid w:val="00FA4BA7"/>
    <w:rsid w:val="00FA61A7"/>
    <w:rsid w:val="00FA6B50"/>
    <w:rsid w:val="00FA7156"/>
    <w:rsid w:val="00FA760F"/>
    <w:rsid w:val="00FA7A0F"/>
    <w:rsid w:val="00FB0844"/>
    <w:rsid w:val="00FB11CA"/>
    <w:rsid w:val="00FB133A"/>
    <w:rsid w:val="00FB16A0"/>
    <w:rsid w:val="00FB1ACE"/>
    <w:rsid w:val="00FB1FDF"/>
    <w:rsid w:val="00FB4507"/>
    <w:rsid w:val="00FB46CA"/>
    <w:rsid w:val="00FB600B"/>
    <w:rsid w:val="00FB69F2"/>
    <w:rsid w:val="00FB6F3C"/>
    <w:rsid w:val="00FB7156"/>
    <w:rsid w:val="00FC0B77"/>
    <w:rsid w:val="00FC1192"/>
    <w:rsid w:val="00FC11D2"/>
    <w:rsid w:val="00FC2E31"/>
    <w:rsid w:val="00FC40D3"/>
    <w:rsid w:val="00FC5133"/>
    <w:rsid w:val="00FC77D8"/>
    <w:rsid w:val="00FC7953"/>
    <w:rsid w:val="00FD03E5"/>
    <w:rsid w:val="00FD1FA7"/>
    <w:rsid w:val="00FD2CBF"/>
    <w:rsid w:val="00FD4EDD"/>
    <w:rsid w:val="00FE0DB2"/>
    <w:rsid w:val="00FE1DEE"/>
    <w:rsid w:val="00FE2BAC"/>
    <w:rsid w:val="00FE33D3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931D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6</Pages>
  <Words>2640</Words>
  <Characters>15049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Georg Hampel</cp:lastModifiedBy>
  <cp:revision>2</cp:revision>
  <dcterms:created xsi:type="dcterms:W3CDTF">2023-02-16T18:01:00Z</dcterms:created>
  <dcterms:modified xsi:type="dcterms:W3CDTF">2023-02-16T18:01:00Z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